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jc w:val="both"/>
        <w:rPr>
          <w:rFonts w:ascii="Verdana" w:cs="Verdana" w:eastAsia="Verdana" w:hAnsi="Verdana"/>
          <w:b w:val="1"/>
          <w:bCs w:val="1"/>
        </w:rPr>
      </w:pPr>
      <w:r w:rsidDel="00000000" w:rsidR="00000000" w:rsidRPr="00000000">
        <w:rPr>
          <w:rFonts w:ascii="Verdana" w:cs="Verdana" w:eastAsia="Verdana" w:hAnsi="Verdana"/>
          <w:b w:val="1"/>
          <w:bCs w:val="1"/>
          <w:rtl w:val="0"/>
        </w:rPr>
        <w:t xml:space="preserve">CONVOCATORIAS LIMITADAS A MIPYMES EN EL ÁMBITO TERRITORIAL - MiPymes – Entidades Sin Ánimo de Lucro </w:t>
      </w:r>
    </w:p>
    <w:p w:rsidR="00000000" w:rsidDel="00000000" w:rsidP="00000000" w:rsidRDefault="00000000" w:rsidRPr="00000000" w14:paraId="00000003">
      <w:pPr>
        <w:spacing w:after="0" w:line="276" w:lineRule="auto"/>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 la posibilidad de solicitar la limitación territorial de las convocatorias a Mipymes no es extensible a todas las ESAL, sino únicamente a aquellas que corresponden al concepto de cooperativas y demás entes considerados de economía solidaria, </w:t>
      </w:r>
      <w:r w:rsidDel="00000000" w:rsidR="00000000" w:rsidRPr="00000000">
        <w:rPr>
          <w:rFonts w:ascii="Verdana" w:cs="Verdana" w:eastAsia="Verdana" w:hAnsi="Verdana"/>
          <w:sz w:val="20"/>
          <w:szCs w:val="20"/>
          <w:rtl w:val="0"/>
        </w:rPr>
        <w:t xml:space="preserve">en los términos del artículo 6 de la Ley 454 de 1998 –norma a la que remite el artículo 23 de la Ley de Emprendimiento–.</w:t>
      </w:r>
      <w:r w:rsidDel="00000000" w:rsidR="00000000" w:rsidRPr="00000000">
        <w:rPr>
          <w:rFonts w:ascii="Verdana" w:cs="Verdana" w:eastAsia="Verdana" w:hAnsi="Verdana"/>
          <w:color w:val="000000"/>
          <w:sz w:val="20"/>
          <w:szCs w:val="20"/>
          <w:rtl w:val="0"/>
        </w:rPr>
        <w:t xml:space="preserve"> </w:t>
      </w:r>
      <w:r w:rsidDel="00000000" w:rsidR="00000000" w:rsidRPr="00000000">
        <w:rPr>
          <w:rFonts w:ascii="Verdana" w:cs="Verdana" w:eastAsia="Verdana" w:hAnsi="Verdana"/>
          <w:sz w:val="20"/>
          <w:szCs w:val="20"/>
          <w:rtl w:val="0"/>
        </w:rPr>
        <w:t xml:space="preserve">En tal sentido, debe analizarse si la ESAL cumple con las características establecidas en dicho artículo, para considerarla una organización de economía solidaria. </w:t>
      </w:r>
      <w:r w:rsidDel="00000000" w:rsidR="00000000" w:rsidRPr="00000000">
        <w:rPr>
          <w:rFonts w:ascii="Verdana" w:cs="Verdana" w:eastAsia="Verdana" w:hAnsi="Verdana"/>
          <w:color w:val="000000"/>
          <w:sz w:val="20"/>
          <w:szCs w:val="20"/>
          <w:rtl w:val="0"/>
        </w:rPr>
        <w:t xml:space="preserve">Solo las que cumplan estos requisitos podrán ser asimiladas a las Mipymes y acceder a los requisitos diferenciales de la Ley 2069 de 2020, así como participar en las convocatorias limitadas a estas, pudiendo incluso manifestar su interés de participar en el proceso de selección de manera previa a la expedición de la resolución de apertura en los términos el artículo 2.2.1.2.4.2.2 del Decreto 1082 de 2015.</w:t>
      </w:r>
    </w:p>
    <w:p w:rsidR="00000000" w:rsidDel="00000000" w:rsidP="00000000" w:rsidRDefault="00000000" w:rsidRPr="00000000" w14:paraId="00000004">
      <w:pPr>
        <w:spacing w:after="0" w:line="276" w:lineRule="auto"/>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05">
      <w:pPr>
        <w:jc w:val="both"/>
        <w:rPr>
          <w:rFonts w:ascii="Verdana" w:cs="Verdana" w:eastAsia="Verdana" w:hAnsi="Verdana"/>
          <w:b w:val="1"/>
          <w:bCs w:val="1"/>
        </w:rPr>
      </w:pPr>
      <w:r w:rsidDel="00000000" w:rsidR="00000000" w:rsidRPr="00000000">
        <w:rPr>
          <w:rFonts w:ascii="Verdana" w:cs="Verdana" w:eastAsia="Verdana" w:hAnsi="Verdana"/>
          <w:b w:val="1"/>
          <w:bCs w:val="1"/>
          <w:rtl w:val="0"/>
        </w:rPr>
        <w:t xml:space="preserve">ESAL – MiPymes - Distinción</w:t>
      </w:r>
    </w:p>
    <w:p w:rsidR="00000000" w:rsidDel="00000000" w:rsidP="00000000" w:rsidRDefault="00000000" w:rsidRPr="00000000" w14:paraId="00000006">
      <w:pPr>
        <w:widowControl w:val="0"/>
        <w:spacing w:after="12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Según esta postura, y en virtud de lo señalado en el artículo 43 de la Ley 1450 de 2011, que modificó el artículo 2 de la Ley 590 de 2000, solo podrán ser consideradas Mipymes las empresas, pues son unidades de explotación económica que buscan el reparto de utilidades entre los miembros de la empresa, sin perjuicio de las precisiones sobre las cooperativa y entidades de economía solidaria antes mencionadas. </w:t>
      </w:r>
    </w:p>
    <w:p w:rsidR="00000000" w:rsidDel="00000000" w:rsidP="00000000" w:rsidRDefault="00000000" w:rsidRPr="00000000" w14:paraId="00000007">
      <w:pPr>
        <w:widowControl w:val="0"/>
        <w:spacing w:after="12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En efecto, lo anterior no es aplicable a las ESAL, dado que la característica determinante que explica su nombre y las diferencias fundamentales con las sociedades comerciales es la ausencia de ánimo de lucro. Por lo que, estas no se regulan por lo dispuesto en el Libro Segundo del Código de Comercio que enumera las sociedades comerciales ni cumplen con la finalidad de repartición de utilidades obtenidas en la empresa mencionada para el contrato de sociedad en el artículo 98 del Código de Comercio.</w:t>
      </w:r>
    </w:p>
    <w:p w:rsidR="00000000" w:rsidDel="00000000" w:rsidP="00000000" w:rsidRDefault="00000000" w:rsidRPr="00000000" w14:paraId="00000008">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09">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0A">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0B">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0C">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0D">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0E">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0F">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0">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1">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2">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3">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4">
      <w:pPr>
        <w:spacing w:after="0" w:line="240" w:lineRule="auto"/>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5">
      <w:pPr>
        <w:spacing w:after="0" w:line="240" w:lineRule="auto"/>
        <w:rPr>
          <w:rFonts w:ascii="Verdana" w:cs="Verdana" w:eastAsia="Verdana" w:hAnsi="Verdana"/>
          <w:color w:val="201f1e"/>
        </w:rPr>
      </w:pPr>
      <w:r w:rsidDel="00000000" w:rsidR="00000000" w:rsidRPr="00000000">
        <w:rPr>
          <w:rFonts w:ascii="Verdana" w:cs="Verdana" w:eastAsia="Verdana" w:hAnsi="Verdana"/>
          <w:color w:val="000000"/>
          <w:rtl w:val="0"/>
        </w:rPr>
        <w:t xml:space="preserve">Bogotá D.C., </w:t>
      </w:r>
      <w:r w:rsidDel="00000000" w:rsidR="00000000" w:rsidRPr="00000000">
        <w:rPr>
          <w:rFonts w:ascii="Verdana" w:cs="Verdana" w:eastAsia="Verdana" w:hAnsi="Verdana"/>
          <w:color w:val="201f1e"/>
          <w:rtl w:val="0"/>
        </w:rPr>
        <w:t xml:space="preserve">16 de Abril de 2025</w:t>
      </w:r>
    </w:p>
    <w:p w:rsidR="00000000" w:rsidDel="00000000" w:rsidP="00000000" w:rsidRDefault="00000000" w:rsidRPr="00000000" w14:paraId="00000016">
      <w:pPr>
        <w:spacing w:after="0" w:line="240" w:lineRule="auto"/>
        <w:jc w:val="both"/>
        <w:rPr>
          <w:rFonts w:ascii="Verdana" w:cs="Verdana" w:eastAsia="Verdana" w:hAnsi="Verdana"/>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2401358</wp:posOffset>
            </wp:positionH>
            <wp:positionV relativeFrom="paragraph">
              <wp:posOffset>143721</wp:posOffset>
            </wp:positionV>
            <wp:extent cx="2898490" cy="816781"/>
            <wp:effectExtent b="0" l="0" r="0" t="0"/>
            <wp:wrapNone/>
            <wp:docPr id="130908990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898490" cy="816781"/>
                    </a:xfrm>
                    <a:prstGeom prst="rect"/>
                    <a:ln/>
                  </pic:spPr>
                </pic:pic>
              </a:graphicData>
            </a:graphic>
          </wp:anchor>
        </w:drawing>
      </w:r>
    </w:p>
    <w:p w:rsidR="00000000" w:rsidDel="00000000" w:rsidP="00000000" w:rsidRDefault="00000000" w:rsidRPr="00000000" w14:paraId="00000017">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Señor</w:t>
      </w:r>
    </w:p>
    <w:p w:rsidR="00000000" w:rsidDel="00000000" w:rsidP="00000000" w:rsidRDefault="00000000" w:rsidRPr="00000000" w14:paraId="00000018">
      <w:pPr>
        <w:spacing w:after="0" w:line="240" w:lineRule="auto"/>
        <w:rPr>
          <w:rFonts w:ascii="Verdana" w:cs="Verdana" w:eastAsia="Verdana" w:hAnsi="Verdana"/>
          <w:b w:val="1"/>
          <w:bCs w:val="1"/>
        </w:rPr>
      </w:pPr>
      <w:r w:rsidDel="00000000" w:rsidR="00000000" w:rsidRPr="00000000">
        <w:rPr>
          <w:rFonts w:ascii="Verdana" w:cs="Verdana" w:eastAsia="Verdana" w:hAnsi="Verdana"/>
          <w:b w:val="1"/>
          <w:bCs w:val="1"/>
          <w:rtl w:val="0"/>
        </w:rPr>
        <w:t xml:space="preserve">Anónimo </w:t>
      </w:r>
    </w:p>
    <w:p w:rsidR="00000000" w:rsidDel="00000000" w:rsidP="00000000" w:rsidRDefault="00000000" w:rsidRPr="00000000" w14:paraId="00000019">
      <w:pPr>
        <w:spacing w:after="0" w:line="240" w:lineRule="auto"/>
        <w:rPr>
          <w:rFonts w:ascii="Verdana" w:cs="Verdana" w:eastAsia="Verdana" w:hAnsi="Verdana"/>
        </w:rPr>
      </w:pPr>
      <w:hyperlink r:id="rId9">
        <w:r w:rsidDel="00000000" w:rsidR="00000000" w:rsidRPr="00000000">
          <w:rPr>
            <w:rFonts w:ascii="Verdana" w:cs="Verdana" w:eastAsia="Verdana" w:hAnsi="Verdana"/>
            <w:color w:val="0000ff"/>
            <w:u w:val="single"/>
            <w:rtl w:val="0"/>
          </w:rPr>
          <w:t xml:space="preserve">jairovargas.asesor@gmail.com</w:t>
        </w:r>
      </w:hyperlink>
      <w:r w:rsidDel="00000000" w:rsidR="00000000" w:rsidRPr="00000000">
        <w:rPr>
          <w:rtl w:val="0"/>
        </w:rPr>
      </w:r>
    </w:p>
    <w:p w:rsidR="00000000" w:rsidDel="00000000" w:rsidP="00000000" w:rsidRDefault="00000000" w:rsidRPr="00000000" w14:paraId="0000001A">
      <w:pPr>
        <w:spacing w:after="0" w:line="240" w:lineRule="auto"/>
        <w:rPr>
          <w:rFonts w:ascii="Verdana" w:cs="Verdana" w:eastAsia="Verdana" w:hAnsi="Verdana"/>
          <w:b w:val="1"/>
          <w:bCs w:val="1"/>
        </w:rPr>
      </w:pPr>
      <w:r w:rsidDel="00000000" w:rsidR="00000000" w:rsidRPr="00000000">
        <w:rPr>
          <w:rtl w:val="0"/>
        </w:rPr>
      </w:r>
    </w:p>
    <w:p w:rsidR="00000000" w:rsidDel="00000000" w:rsidP="00000000" w:rsidRDefault="00000000" w:rsidRPr="00000000" w14:paraId="0000001B">
      <w:pPr>
        <w:spacing w:after="0" w:line="240" w:lineRule="auto"/>
        <w:rPr>
          <w:rFonts w:ascii="Verdana" w:cs="Verdana" w:eastAsia="Verdana" w:hAnsi="Verdana"/>
          <w:b w:val="1"/>
          <w:bCs w:val="1"/>
          <w:color w:val="000000"/>
        </w:rPr>
      </w:pPr>
      <w:r w:rsidDel="00000000" w:rsidR="00000000" w:rsidRPr="00000000">
        <w:rPr>
          <w:rtl w:val="0"/>
        </w:rPr>
      </w:r>
    </w:p>
    <w:p w:rsidR="00000000" w:rsidDel="00000000" w:rsidP="00000000" w:rsidRDefault="00000000" w:rsidRPr="00000000" w14:paraId="0000001C">
      <w:pPr>
        <w:spacing w:after="0" w:line="240" w:lineRule="auto"/>
        <w:rPr>
          <w:rFonts w:ascii="Verdana" w:cs="Verdana" w:eastAsia="Verdana" w:hAnsi="Verdana"/>
          <w:b w:val="1"/>
          <w:bCs w:val="1"/>
          <w:color w:val="000000"/>
        </w:rPr>
      </w:pPr>
      <w:r w:rsidDel="00000000" w:rsidR="00000000" w:rsidRPr="00000000">
        <w:rPr>
          <w:rtl w:val="0"/>
        </w:rPr>
      </w:r>
    </w:p>
    <w:tbl>
      <w:tblPr>
        <w:tblStyle w:val="Table1"/>
        <w:tblW w:w="8789.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689"/>
        <w:gridCol w:w="6100"/>
        <w:tblGridChange w:id="0">
          <w:tblGrid>
            <w:gridCol w:w="2689"/>
            <w:gridCol w:w="6100"/>
          </w:tblGrid>
        </w:tblGridChange>
      </w:tblGrid>
      <w:tr>
        <w:trPr>
          <w:cantSplit w:val="0"/>
          <w:trHeight w:val="884" w:hRule="atLeast"/>
          <w:tblHeader w:val="0"/>
        </w:trPr>
        <w:tc>
          <w:tcPr/>
          <w:p w:rsidR="00000000" w:rsidDel="00000000" w:rsidP="00000000" w:rsidRDefault="00000000" w:rsidRPr="00000000" w14:paraId="0000001D">
            <w:pPr>
              <w:jc w:val="both"/>
              <w:rPr>
                <w:rFonts w:ascii="Verdana" w:cs="Verdana" w:eastAsia="Verdana" w:hAnsi="Verdana"/>
                <w:b w:val="1"/>
                <w:bCs w:val="1"/>
                <w:color w:val="7030a0"/>
              </w:rPr>
            </w:pPr>
            <w:r w:rsidDel="00000000" w:rsidR="00000000" w:rsidRPr="00000000">
              <w:rPr>
                <w:rtl w:val="0"/>
              </w:rPr>
            </w:r>
          </w:p>
        </w:tc>
        <w:tc>
          <w:tcPr/>
          <w:p w:rsidR="00000000" w:rsidDel="00000000" w:rsidP="00000000" w:rsidRDefault="00000000" w:rsidRPr="00000000" w14:paraId="0000001E">
            <w:pPr>
              <w:jc w:val="both"/>
              <w:rPr>
                <w:rFonts w:ascii="Verdana" w:cs="Verdana" w:eastAsia="Verdana" w:hAnsi="Verdana"/>
                <w:b w:val="1"/>
                <w:bCs w:val="1"/>
                <w:color w:val="7030a0"/>
              </w:rPr>
            </w:pPr>
            <w:r w:rsidDel="00000000" w:rsidR="00000000" w:rsidRPr="00000000">
              <w:rPr>
                <w:rFonts w:ascii="Verdana" w:cs="Verdana" w:eastAsia="Verdana" w:hAnsi="Verdana"/>
                <w:b w:val="1"/>
                <w:bCs w:val="1"/>
                <w:rtl w:val="0"/>
              </w:rPr>
              <w:t xml:space="preserve">Concepto C-306</w:t>
            </w:r>
            <w:r w:rsidDel="00000000" w:rsidR="00000000" w:rsidRPr="00000000">
              <w:rPr>
                <w:rFonts w:ascii="Verdana" w:cs="Verdana" w:eastAsia="Verdana" w:hAnsi="Verdana"/>
                <w:b w:val="1"/>
                <w:bCs w:val="1"/>
                <w:color w:val="7030a0"/>
                <w:rtl w:val="0"/>
              </w:rPr>
              <w:t xml:space="preserve"> </w:t>
            </w:r>
            <w:r w:rsidDel="00000000" w:rsidR="00000000" w:rsidRPr="00000000">
              <w:rPr>
                <w:rFonts w:ascii="Verdana" w:cs="Verdana" w:eastAsia="Verdana" w:hAnsi="Verdana"/>
                <w:b w:val="1"/>
                <w:bCs w:val="1"/>
                <w:rtl w:val="0"/>
              </w:rPr>
              <w:t xml:space="preserve">de 2025</w:t>
            </w:r>
            <w:r w:rsidDel="00000000" w:rsidR="00000000" w:rsidRPr="00000000">
              <w:rPr>
                <w:rtl w:val="0"/>
              </w:rPr>
            </w:r>
          </w:p>
        </w:tc>
      </w:tr>
      <w:tr>
        <w:trPr>
          <w:cantSplit w:val="0"/>
          <w:trHeight w:val="884" w:hRule="atLeast"/>
          <w:tblHeader w:val="0"/>
        </w:trPr>
        <w:tc>
          <w:tcPr/>
          <w:p w:rsidR="00000000" w:rsidDel="00000000" w:rsidP="00000000" w:rsidRDefault="00000000" w:rsidRPr="00000000" w14:paraId="0000001F">
            <w:pPr>
              <w:jc w:val="both"/>
              <w:rPr>
                <w:rFonts w:ascii="Verdana" w:cs="Verdana" w:eastAsia="Verdana" w:hAnsi="Verdana"/>
                <w:color w:val="000000"/>
              </w:rPr>
            </w:pPr>
            <w:r w:rsidDel="00000000" w:rsidR="00000000" w:rsidRPr="00000000">
              <w:rPr>
                <w:rFonts w:ascii="Verdana" w:cs="Verdana" w:eastAsia="Verdana" w:hAnsi="Verdana"/>
                <w:b w:val="1"/>
                <w:bCs w:val="1"/>
                <w:color w:val="000000"/>
                <w:rtl w:val="0"/>
              </w:rPr>
              <w:t xml:space="preserve">Temas:</w:t>
            </w:r>
            <w:r w:rsidDel="00000000" w:rsidR="00000000" w:rsidRPr="00000000">
              <w:rPr>
                <w:rFonts w:ascii="Verdana" w:cs="Verdana" w:eastAsia="Verdana" w:hAnsi="Verdana"/>
                <w:color w:val="000000"/>
                <w:rtl w:val="0"/>
              </w:rPr>
              <w:t xml:space="preserve">                   </w:t>
            </w:r>
          </w:p>
        </w:tc>
        <w:tc>
          <w:tcPr/>
          <w:p w:rsidR="00000000" w:rsidDel="00000000" w:rsidP="00000000" w:rsidRDefault="00000000" w:rsidRPr="00000000" w14:paraId="00000020">
            <w:pPr>
              <w:jc w:val="both"/>
              <w:rPr>
                <w:rFonts w:ascii="Verdana" w:cs="Verdana" w:eastAsia="Verdana" w:hAnsi="Verdana"/>
                <w:color w:val="7030a0"/>
              </w:rPr>
            </w:pPr>
            <w:r w:rsidDel="00000000" w:rsidR="00000000" w:rsidRPr="00000000">
              <w:rPr>
                <w:rFonts w:ascii="Verdana" w:cs="Verdana" w:eastAsia="Verdana" w:hAnsi="Verdana"/>
                <w:rtl w:val="0"/>
              </w:rPr>
              <w:t xml:space="preserve">CONVOCATORIAS LIMITADAS A MIPYMES EN EL ÁMBITO TERRITORIAL – MiPymes – Entidades Sin Ánimo de Lucro /ESAL – MiPymes - Distinción</w:t>
            </w:r>
            <w:r w:rsidDel="00000000" w:rsidR="00000000" w:rsidRPr="00000000">
              <w:rPr>
                <w:rtl w:val="0"/>
              </w:rPr>
            </w:r>
          </w:p>
          <w:p w:rsidR="00000000" w:rsidDel="00000000" w:rsidP="00000000" w:rsidRDefault="00000000" w:rsidRPr="00000000" w14:paraId="00000021">
            <w:pPr>
              <w:jc w:val="both"/>
              <w:rPr>
                <w:rFonts w:ascii="Verdana" w:cs="Verdana" w:eastAsia="Verdana" w:hAnsi="Verdana"/>
              </w:rPr>
            </w:pPr>
            <w:r w:rsidDel="00000000" w:rsidR="00000000" w:rsidRPr="00000000">
              <w:rPr>
                <w:rtl w:val="0"/>
              </w:rPr>
            </w:r>
          </w:p>
        </w:tc>
      </w:tr>
      <w:tr>
        <w:trPr>
          <w:cantSplit w:val="0"/>
          <w:tblHeader w:val="0"/>
        </w:trPr>
        <w:tc>
          <w:tcPr/>
          <w:p w:rsidR="00000000" w:rsidDel="00000000" w:rsidP="00000000" w:rsidRDefault="00000000" w:rsidRPr="00000000" w14:paraId="00000022">
            <w:pPr>
              <w:jc w:val="both"/>
              <w:rPr>
                <w:rFonts w:ascii="Verdana" w:cs="Verdana" w:eastAsia="Verdana" w:hAnsi="Verdana"/>
                <w:b w:val="1"/>
                <w:bCs w:val="1"/>
              </w:rPr>
            </w:pPr>
            <w:r w:rsidDel="00000000" w:rsidR="00000000" w:rsidRPr="00000000">
              <w:rPr>
                <w:rFonts w:ascii="Verdana" w:cs="Verdana" w:eastAsia="Verdana" w:hAnsi="Verdana"/>
                <w:b w:val="1"/>
                <w:bCs w:val="1"/>
                <w:rtl w:val="0"/>
              </w:rPr>
              <w:t xml:space="preserve">Radicación:</w:t>
            </w:r>
            <w:r w:rsidDel="00000000" w:rsidR="00000000" w:rsidRPr="00000000">
              <w:rPr>
                <w:rFonts w:ascii="Verdana" w:cs="Verdana" w:eastAsia="Verdana" w:hAnsi="Verdana"/>
                <w:rtl w:val="0"/>
              </w:rPr>
              <w:t xml:space="preserve">               </w:t>
            </w:r>
            <w:r w:rsidDel="00000000" w:rsidR="00000000" w:rsidRPr="00000000">
              <w:rPr>
                <w:rtl w:val="0"/>
              </w:rPr>
            </w:r>
          </w:p>
        </w:tc>
        <w:tc>
          <w:tcPr/>
          <w:p w:rsidR="00000000" w:rsidDel="00000000" w:rsidP="00000000" w:rsidRDefault="00000000" w:rsidRPr="00000000" w14:paraId="00000023">
            <w:pPr>
              <w:jc w:val="both"/>
              <w:rPr>
                <w:rFonts w:ascii="Verdana" w:cs="Verdana" w:eastAsia="Verdana" w:hAnsi="Verdana"/>
              </w:rPr>
            </w:pPr>
            <w:r w:rsidDel="00000000" w:rsidR="00000000" w:rsidRPr="00000000">
              <w:rPr>
                <w:rFonts w:ascii="Verdana" w:cs="Verdana" w:eastAsia="Verdana" w:hAnsi="Verdana"/>
                <w:rtl w:val="0"/>
              </w:rPr>
              <w:t xml:space="preserve">Respuesta a consulta con radicado No. P20250313002503</w:t>
            </w:r>
          </w:p>
        </w:tc>
      </w:tr>
    </w:tbl>
    <w:p w:rsidR="00000000" w:rsidDel="00000000" w:rsidP="00000000" w:rsidRDefault="00000000" w:rsidRPr="00000000" w14:paraId="00000024">
      <w:pPr>
        <w:spacing w:after="0" w:lin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25">
      <w:pPr>
        <w:spacing w:after="0" w:line="240" w:lineRule="auto"/>
        <w:jc w:val="both"/>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26">
      <w:pPr>
        <w:spacing w:after="0" w:line="276" w:lineRule="auto"/>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Estimado señor</w:t>
      </w:r>
      <w:r w:rsidDel="00000000" w:rsidR="00000000" w:rsidRPr="00000000">
        <w:rPr>
          <w:rFonts w:ascii="Verdana" w:cs="Verdana" w:eastAsia="Verdana" w:hAnsi="Verdana"/>
          <w:rtl w:val="0"/>
        </w:rPr>
        <w:t xml:space="preserve">: </w:t>
      </w:r>
      <w:r w:rsidDel="00000000" w:rsidR="00000000" w:rsidRPr="00000000">
        <w:rPr>
          <w:rtl w:val="0"/>
        </w:rPr>
      </w:r>
    </w:p>
    <w:p w:rsidR="00000000" w:rsidDel="00000000" w:rsidP="00000000" w:rsidRDefault="00000000" w:rsidRPr="00000000" w14:paraId="00000027">
      <w:pPr>
        <w:tabs>
          <w:tab w:val="left" w:leader="none" w:pos="3768"/>
        </w:tabs>
        <w:spacing w:after="0" w:line="276" w:lineRule="auto"/>
        <w:jc w:val="both"/>
        <w:rPr>
          <w:rFonts w:ascii="Verdana" w:cs="Verdana" w:eastAsia="Verdana" w:hAnsi="Verdana"/>
          <w:color w:val="000000"/>
        </w:rPr>
      </w:pPr>
      <w:r w:rsidDel="00000000" w:rsidR="00000000" w:rsidRPr="00000000">
        <w:rPr>
          <w:rFonts w:ascii="Verdana" w:cs="Verdana" w:eastAsia="Verdana" w:hAnsi="Verdana"/>
          <w:color w:val="000000"/>
          <w:rtl w:val="0"/>
        </w:rPr>
        <w:tab/>
      </w:r>
    </w:p>
    <w:p w:rsidR="00000000" w:rsidDel="00000000" w:rsidP="00000000" w:rsidRDefault="00000000" w:rsidRPr="00000000" w14:paraId="00000028">
      <w:pPr>
        <w:spacing w:after="0" w:line="276" w:lineRule="auto"/>
        <w:jc w:val="both"/>
        <w:rPr>
          <w:rFonts w:ascii="Verdana" w:cs="Verdana" w:eastAsia="Verdana" w:hAnsi="Verdana"/>
          <w:color w:val="7030a0"/>
        </w:rPr>
      </w:pPr>
      <w:r w:rsidDel="00000000" w:rsidR="00000000" w:rsidRPr="00000000">
        <w:rPr>
          <w:rFonts w:ascii="Verdana" w:cs="Verdana" w:eastAsia="Verdana" w:hAnsi="Verdana"/>
          <w:color w:val="000000"/>
          <w:rtl w:val="0"/>
        </w:rPr>
        <w:t xml:space="preserve">En ejercicio de la competencia otorgada por los artículos 3, numeral 5º, y 11, numeral 8º, del Decreto Ley 4170 de 2011,</w:t>
      </w:r>
      <w:r w:rsidDel="00000000" w:rsidR="00000000" w:rsidRPr="00000000">
        <w:rPr>
          <w:rFonts w:ascii="Verdana" w:cs="Verdana" w:eastAsia="Verdana" w:hAnsi="Verdana"/>
          <w:rtl w:val="0"/>
        </w:rPr>
        <w:t xml:space="preserve"> así como lo establecido en el artículo 4 de la Resolución 1707 de 2018 expedida por esta Entidad, </w:t>
      </w:r>
      <w:r w:rsidDel="00000000" w:rsidR="00000000" w:rsidRPr="00000000">
        <w:rPr>
          <w:rFonts w:ascii="Verdana" w:cs="Verdana" w:eastAsia="Verdana" w:hAnsi="Verdana"/>
          <w:color w:val="000000"/>
          <w:rtl w:val="0"/>
        </w:rPr>
        <w:t xml:space="preserve">la Agencia Nacional de Contratación Pública – Colombia Compra Eficiente– responde su solicitud de consulta de </w:t>
      </w:r>
      <w:r w:rsidDel="00000000" w:rsidR="00000000" w:rsidRPr="00000000">
        <w:rPr>
          <w:rFonts w:ascii="Verdana" w:cs="Verdana" w:eastAsia="Verdana" w:hAnsi="Verdana"/>
          <w:rtl w:val="0"/>
        </w:rPr>
        <w:t xml:space="preserve">fecha 13 de marzo de 2025, en la cual manifiesta lo siguiente: </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0"/>
        <w:jc w:val="both"/>
        <w:rPr>
          <w:rFonts w:ascii="Verdana" w:cs="Verdana" w:eastAsia="Verdana" w:hAnsi="Verdana"/>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spacing w:after="0" w:line="240" w:lineRule="auto"/>
        <w:ind w:left="709" w:right="709" w:firstLine="0"/>
        <w:jc w:val="both"/>
        <w:rPr>
          <w:rFonts w:ascii="Verdana" w:cs="Verdana" w:eastAsia="Verdana" w:hAnsi="Verdana"/>
          <w:sz w:val="20"/>
          <w:szCs w:val="20"/>
        </w:rPr>
      </w:pPr>
      <w:bookmarkStart w:colFirst="0" w:colLast="0" w:name="_heading=h.schojr44wo3w" w:id="0"/>
      <w:bookmarkEnd w:id="0"/>
      <w:r w:rsidDel="00000000" w:rsidR="00000000" w:rsidRPr="00000000">
        <w:rPr>
          <w:rFonts w:ascii="Verdana" w:cs="Verdana" w:eastAsia="Verdana" w:hAnsi="Verdana"/>
          <w:sz w:val="20"/>
          <w:szCs w:val="20"/>
          <w:rtl w:val="0"/>
        </w:rPr>
        <w:t xml:space="preserve">“</w:t>
      </w:r>
      <w:r w:rsidDel="00000000" w:rsidR="00000000" w:rsidRPr="00000000">
        <w:rPr>
          <w:rFonts w:ascii="Verdana" w:cs="Verdana" w:eastAsia="Verdana" w:hAnsi="Verdana"/>
          <w:sz w:val="20"/>
          <w:szCs w:val="20"/>
          <w:highlight w:val="white"/>
          <w:rtl w:val="0"/>
        </w:rPr>
        <w:t xml:space="preserve">solicito amabalmente si cuando una entidad recibe solicitudes para limitar un proceso a mipyme municipal, esta limitacion la pueden solicitar entidades sin animo de lucro, fundaciones o corporaciones que no son perse empresas comerciales , agradezco se pueda esclarecer ya que en muchas ocasiones las entidades territoriales aceptan solicitudes de limitacion por parte de fundaciones o entidades sin anmo de lucro. gracias:”</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0"/>
        <w:jc w:val="both"/>
        <w:rPr>
          <w:rFonts w:ascii="Verdana" w:cs="Verdana" w:eastAsia="Verdana" w:hAnsi="Verdana"/>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spacing w:after="120" w:line="276" w:lineRule="auto"/>
        <w:ind w:firstLine="709"/>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tab/>
      </w:r>
    </w:p>
    <w:p w:rsidR="00000000" w:rsidDel="00000000" w:rsidP="00000000" w:rsidRDefault="00000000" w:rsidRPr="00000000" w14:paraId="0000002D">
      <w:pPr>
        <w:spacing w:after="0" w:line="276" w:lineRule="auto"/>
        <w:ind w:firstLine="709"/>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Del="00000000" w:rsidR="00000000" w:rsidRPr="00000000">
        <w:rPr>
          <w:rFonts w:ascii="Verdana" w:cs="Verdana" w:eastAsia="Verdana" w:hAnsi="Verdana"/>
          <w:color w:val="7030a0"/>
          <w:rtl w:val="0"/>
        </w:rPr>
        <w:t xml:space="preserve"> </w:t>
      </w:r>
      <w:r w:rsidDel="00000000" w:rsidR="00000000" w:rsidRPr="00000000">
        <w:rPr>
          <w:rFonts w:ascii="Verdana" w:cs="Verdana" w:eastAsia="Verdana" w:hAnsi="Verdana"/>
          <w:color w:val="000000"/>
          <w:rtl w:val="0"/>
        </w:rPr>
        <w:t xml:space="preserve">problema</w:t>
      </w:r>
      <w:r w:rsidDel="00000000" w:rsidR="00000000" w:rsidRPr="00000000">
        <w:rPr>
          <w:rFonts w:ascii="Verdana" w:cs="Verdana" w:eastAsia="Verdana" w:hAnsi="Verdana"/>
          <w:color w:val="7030a0"/>
          <w:rtl w:val="0"/>
        </w:rPr>
        <w:t xml:space="preserve"> </w:t>
      </w:r>
      <w:r w:rsidDel="00000000" w:rsidR="00000000" w:rsidRPr="00000000">
        <w:rPr>
          <w:rFonts w:ascii="Verdana" w:cs="Verdana" w:eastAsia="Verdana" w:hAnsi="Verdana"/>
          <w:color w:val="000000"/>
          <w:rtl w:val="0"/>
        </w:rPr>
        <w:t xml:space="preserve">jurídico</w:t>
      </w:r>
      <w:r w:rsidDel="00000000" w:rsidR="00000000" w:rsidRPr="00000000">
        <w:rPr>
          <w:rFonts w:ascii="Verdana" w:cs="Verdana" w:eastAsia="Verdana" w:hAnsi="Verdana"/>
          <w:color w:val="7030a0"/>
          <w:rtl w:val="0"/>
        </w:rPr>
        <w:t xml:space="preserve"> </w:t>
      </w:r>
      <w:r w:rsidDel="00000000" w:rsidR="00000000" w:rsidRPr="00000000">
        <w:rPr>
          <w:rFonts w:ascii="Verdana" w:cs="Verdana" w:eastAsia="Verdana" w:hAnsi="Verdana"/>
          <w:color w:val="000000"/>
          <w:rtl w:val="0"/>
        </w:rPr>
        <w:t xml:space="preserve">de su consulta. </w:t>
      </w:r>
    </w:p>
    <w:p w:rsidR="00000000" w:rsidDel="00000000" w:rsidP="00000000" w:rsidRDefault="00000000" w:rsidRPr="00000000" w14:paraId="0000002E">
      <w:pPr>
        <w:spacing w:after="0" w:line="276" w:lineRule="auto"/>
        <w:ind w:firstLine="709"/>
        <w:jc w:val="both"/>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0"/>
        <w:jc w:val="both"/>
        <w:rPr>
          <w:rFonts w:ascii="Verdana" w:cs="Verdana" w:eastAsia="Verdana" w:hAnsi="Verdana"/>
          <w:b w:val="1"/>
          <w:bCs w:val="1"/>
          <w:i w:val="0"/>
          <w:iCs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2"/>
          <w:szCs w:val="22"/>
          <w:u w:val="none"/>
          <w:shd w:fill="auto" w:val="clear"/>
          <w:vertAlign w:val="baseline"/>
          <w:rtl w:val="0"/>
        </w:rPr>
        <w:t xml:space="preserve">Problema planteado:</w:t>
      </w:r>
    </w:p>
    <w:p w:rsidR="00000000" w:rsidDel="00000000" w:rsidP="00000000" w:rsidRDefault="00000000" w:rsidRPr="00000000" w14:paraId="00000030">
      <w:pPr>
        <w:tabs>
          <w:tab w:val="left" w:leader="none" w:pos="426"/>
        </w:tabs>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31">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De acuerdo con el contenido de su solicitud, esta Agencia resolverá el siguiente problema jurídico: ¿la limitación de un proceso contractual a MiPymes en el ámbito territorial puede ser solicitada por Entidades Sin Ánimo de Lucro – en adelante ESAL? </w:t>
      </w:r>
    </w:p>
    <w:p w:rsidR="00000000" w:rsidDel="00000000" w:rsidP="00000000" w:rsidRDefault="00000000" w:rsidRPr="00000000" w14:paraId="00000032">
      <w:pPr>
        <w:spacing w:after="0" w:line="276" w:lineRule="auto"/>
        <w:jc w:val="both"/>
        <w:rPr>
          <w:rFonts w:ascii="Verdana" w:cs="Verdana" w:eastAsia="Verdana" w:hAnsi="Verdana"/>
          <w:color w:val="7030a0"/>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0"/>
        <w:jc w:val="both"/>
        <w:rPr>
          <w:rFonts w:ascii="Verdana" w:cs="Verdana" w:eastAsia="Verdana" w:hAnsi="Verdana"/>
          <w:b w:val="1"/>
          <w:bCs w:val="1"/>
          <w:i w:val="0"/>
          <w:iCs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2"/>
          <w:szCs w:val="22"/>
          <w:u w:val="none"/>
          <w:shd w:fill="auto" w:val="clear"/>
          <w:vertAlign w:val="baseline"/>
          <w:rtl w:val="0"/>
        </w:rPr>
        <w:t xml:space="preserve">Respuesta:</w:t>
      </w:r>
    </w:p>
    <w:p w:rsidR="00000000" w:rsidDel="00000000" w:rsidP="00000000" w:rsidRDefault="00000000" w:rsidRPr="00000000" w14:paraId="00000034">
      <w:pPr>
        <w:tabs>
          <w:tab w:val="left" w:leader="none" w:pos="142"/>
          <w:tab w:val="left" w:leader="none" w:pos="284"/>
        </w:tabs>
        <w:spacing w:after="0" w:line="276" w:lineRule="auto"/>
        <w:jc w:val="both"/>
        <w:rPr>
          <w:rFonts w:ascii="Verdana" w:cs="Verdana" w:eastAsia="Verdana" w:hAnsi="Verdana"/>
          <w:b w:val="1"/>
          <w:bCs w:val="1"/>
        </w:rPr>
      </w:pPr>
      <w:r w:rsidDel="00000000" w:rsidR="00000000" w:rsidRPr="00000000">
        <w:rPr>
          <w:rtl w:val="0"/>
        </w:rPr>
      </w:r>
    </w:p>
    <w:tbl>
      <w:tblPr>
        <w:tblStyle w:val="Table2"/>
        <w:tblW w:w="8828.0" w:type="dxa"/>
        <w:jc w:val="left"/>
        <w:tblBorders>
          <w:top w:color="000000" w:space="0" w:sz="4" w:val="dotted"/>
          <w:left w:color="000000" w:space="0" w:sz="4" w:val="dotted"/>
          <w:bottom w:color="000000" w:space="0" w:sz="4" w:val="dotted"/>
          <w:right w:color="000000" w:space="0" w:sz="4" w:val="dotted"/>
          <w:insideH w:color="000000" w:space="0" w:sz="4" w:val="dotted"/>
          <w:insideV w:color="000000" w:space="0" w:sz="4" w:val="dotted"/>
        </w:tblBorders>
        <w:tblLayout w:type="fixed"/>
        <w:tblLook w:val="0400"/>
      </w:tblPr>
      <w:tblGrid>
        <w:gridCol w:w="8828"/>
        <w:tblGridChange w:id="0">
          <w:tblGrid>
            <w:gridCol w:w="8828"/>
          </w:tblGrid>
        </w:tblGridChange>
      </w:tblGrid>
      <w:tr>
        <w:trPr>
          <w:cantSplit w:val="0"/>
          <w:tblHeader w:val="0"/>
        </w:trPr>
        <w:tc>
          <w:tcPr>
            <w:shd w:fill="auto" w:val="clear"/>
          </w:tcPr>
          <w:p w:rsidR="00000000" w:rsidDel="00000000" w:rsidP="00000000" w:rsidRDefault="00000000" w:rsidRPr="00000000" w14:paraId="00000035">
            <w:pPr>
              <w:spacing w:line="276" w:lineRule="auto"/>
              <w:jc w:val="both"/>
              <w:rPr>
                <w:rFonts w:ascii="Verdana" w:cs="Verdana" w:eastAsia="Verdana" w:hAnsi="Verdana"/>
                <w:color w:val="7030a0"/>
              </w:rPr>
            </w:pPr>
            <w:r w:rsidDel="00000000" w:rsidR="00000000" w:rsidRPr="00000000">
              <w:rPr>
                <w:rFonts w:ascii="Verdana" w:cs="Verdana" w:eastAsia="Verdana" w:hAnsi="Verdana"/>
                <w:color w:val="000000"/>
                <w:rtl w:val="0"/>
              </w:rPr>
              <w:t xml:space="preserve">La posibilidad de solicitar la limitación territorial de las convocatorias a Mipymes no es extensible a todas las ESAL, sino únicamente a aquellas que corresponden al concepto de cooperativas y demás entes considerados de economía solidaria, </w:t>
            </w:r>
            <w:r w:rsidDel="00000000" w:rsidR="00000000" w:rsidRPr="00000000">
              <w:rPr>
                <w:rFonts w:ascii="Verdana" w:cs="Verdana" w:eastAsia="Verdana" w:hAnsi="Verdana"/>
                <w:rtl w:val="0"/>
              </w:rPr>
              <w:t xml:space="preserve">en los términos del artículo 6 de la Ley 454 de 1998 –norma a la que remite el artículo 23 de la Ley de Emprendimiento–.</w:t>
            </w:r>
            <w:r w:rsidDel="00000000" w:rsidR="00000000" w:rsidRPr="00000000">
              <w:rPr>
                <w:rFonts w:ascii="Verdana" w:cs="Verdana" w:eastAsia="Verdana" w:hAnsi="Verdana"/>
                <w:color w:val="000000"/>
                <w:rtl w:val="0"/>
              </w:rPr>
              <w:t xml:space="preserve"> </w:t>
            </w:r>
            <w:r w:rsidDel="00000000" w:rsidR="00000000" w:rsidRPr="00000000">
              <w:rPr>
                <w:rFonts w:ascii="Verdana" w:cs="Verdana" w:eastAsia="Verdana" w:hAnsi="Verdana"/>
                <w:rtl w:val="0"/>
              </w:rPr>
              <w:t xml:space="preserve">En tal sentido, debe analizarse si la ESAL cumple con las características establecidas en dicho artículo, para considerarla una organización de economía solidaria. </w:t>
            </w:r>
            <w:r w:rsidDel="00000000" w:rsidR="00000000" w:rsidRPr="00000000">
              <w:rPr>
                <w:rFonts w:ascii="Verdana" w:cs="Verdana" w:eastAsia="Verdana" w:hAnsi="Verdana"/>
                <w:color w:val="000000"/>
                <w:rtl w:val="0"/>
              </w:rPr>
              <w:t xml:space="preserve">Solo las que cumplan estos requisitos podrán ser asimiladas a las Mipymes y acceder a los requisitos diferenciales de la Ley 2069 de 2020, así como participar en las convocatorias limitadas a estas, pudiendo incluso manifestar su interés de participar en el proceso de selección de manera previa a la expedición de la resolución de apertura en los términos el artículo 2.2.1.2.4.2.2 del Decreto 1082 de 2015.</w:t>
            </w:r>
            <w:r w:rsidDel="00000000" w:rsidR="00000000" w:rsidRPr="00000000">
              <w:rPr>
                <w:rtl w:val="0"/>
              </w:rPr>
            </w:r>
          </w:p>
        </w:tc>
      </w:tr>
    </w:tbl>
    <w:p w:rsidR="00000000" w:rsidDel="00000000" w:rsidP="00000000" w:rsidRDefault="00000000" w:rsidRPr="00000000" w14:paraId="00000036">
      <w:pPr>
        <w:tabs>
          <w:tab w:val="left" w:leader="none" w:pos="142"/>
          <w:tab w:val="left" w:leader="none" w:pos="284"/>
        </w:tabs>
        <w:spacing w:after="0" w:line="276" w:lineRule="auto"/>
        <w:jc w:val="both"/>
        <w:rPr>
          <w:rFonts w:ascii="Verdana" w:cs="Verdana" w:eastAsia="Verdana" w:hAnsi="Verdana"/>
          <w:b w:val="1"/>
          <w:bCs w:val="1"/>
        </w:rPr>
      </w:pP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0"/>
        <w:jc w:val="both"/>
        <w:rPr>
          <w:rFonts w:ascii="Verdana" w:cs="Verdana" w:eastAsia="Verdana" w:hAnsi="Verdana"/>
          <w:b w:val="1"/>
          <w:bCs w:val="1"/>
          <w:i w:val="0"/>
          <w:iCs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2"/>
          <w:szCs w:val="22"/>
          <w:u w:val="none"/>
          <w:shd w:fill="auto" w:val="clear"/>
          <w:vertAlign w:val="baseline"/>
          <w:rtl w:val="0"/>
        </w:rPr>
        <w:t xml:space="preserve">Razones de la respuesta:</w:t>
      </w:r>
    </w:p>
    <w:p w:rsidR="00000000" w:rsidDel="00000000" w:rsidP="00000000" w:rsidRDefault="00000000" w:rsidRPr="00000000" w14:paraId="00000038">
      <w:pPr>
        <w:spacing w:after="0" w:line="276" w:lineRule="auto"/>
        <w:jc w:val="both"/>
        <w:rPr>
          <w:rFonts w:ascii="Verdana" w:cs="Verdana" w:eastAsia="Verdana" w:hAnsi="Verdana"/>
          <w:color w:val="7030a0"/>
        </w:rPr>
      </w:pPr>
      <w:r w:rsidDel="00000000" w:rsidR="00000000" w:rsidRPr="00000000">
        <w:rPr>
          <w:rtl w:val="0"/>
        </w:rPr>
      </w:r>
    </w:p>
    <w:p w:rsidR="00000000" w:rsidDel="00000000" w:rsidP="00000000" w:rsidRDefault="00000000" w:rsidRPr="00000000" w14:paraId="00000039">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Lo anterior se sustenta en las siguientes consideraciones: </w:t>
      </w:r>
    </w:p>
    <w:p w:rsidR="00000000" w:rsidDel="00000000" w:rsidP="00000000" w:rsidRDefault="00000000" w:rsidRPr="00000000" w14:paraId="0000003A">
      <w:pPr>
        <w:spacing w:after="0" w:line="276" w:lineRule="auto"/>
        <w:jc w:val="both"/>
        <w:rPr>
          <w:rFonts w:ascii="Verdana" w:cs="Verdana" w:eastAsia="Verdana" w:hAnsi="Verdana"/>
          <w:color w:val="7030a0"/>
        </w:rPr>
      </w:pPr>
      <w:r w:rsidDel="00000000" w:rsidR="00000000" w:rsidRPr="00000000">
        <w:rPr>
          <w:rtl w:val="0"/>
        </w:rPr>
      </w:r>
    </w:p>
    <w:p w:rsidR="00000000" w:rsidDel="00000000" w:rsidP="00000000" w:rsidRDefault="00000000" w:rsidRPr="00000000" w14:paraId="0000003B">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La limitación territorial de las convocatorias a MiPymes encuentra su fundamento legal en el artículo 2.2.1.2.4.2.3 del Decreto 1082 de 2015, modificado por el artículo 5 del Decreto 1860 de 2021, el cual señala:</w:t>
      </w:r>
    </w:p>
    <w:p w:rsidR="00000000" w:rsidDel="00000000" w:rsidP="00000000" w:rsidRDefault="00000000" w:rsidRPr="00000000" w14:paraId="0000003C">
      <w:pPr>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3D">
      <w:pPr>
        <w:spacing w:after="0" w:line="240" w:lineRule="auto"/>
        <w:ind w:left="708" w:right="616" w:firstLine="62.00000000000003"/>
        <w:jc w:val="both"/>
        <w:rPr>
          <w:rFonts w:ascii="Verdana" w:cs="Verdana" w:eastAsia="Verdana" w:hAnsi="Verdana"/>
          <w:sz w:val="20"/>
          <w:szCs w:val="20"/>
        </w:rPr>
      </w:pPr>
      <w:r w:rsidDel="00000000" w:rsidR="00000000" w:rsidRPr="00000000">
        <w:rPr>
          <w:rFonts w:ascii="Verdana" w:cs="Verdana" w:eastAsia="Verdana" w:hAnsi="Verdana"/>
          <w:b w:val="1"/>
          <w:bCs w:val="1"/>
          <w:color w:val="000000"/>
          <w:sz w:val="20"/>
          <w:szCs w:val="20"/>
          <w:rtl w:val="0"/>
        </w:rPr>
        <w:t xml:space="preserve">“</w:t>
      </w:r>
      <w:r w:rsidDel="00000000" w:rsidR="00000000" w:rsidRPr="00000000">
        <w:rPr>
          <w:rFonts w:ascii="Verdana" w:cs="Verdana" w:eastAsia="Verdana" w:hAnsi="Verdana"/>
          <w:b w:val="0"/>
          <w:bCs w:val="0"/>
          <w:color w:val="000000"/>
          <w:sz w:val="20"/>
          <w:szCs w:val="20"/>
          <w:rtl w:val="0"/>
        </w:rPr>
        <w:t xml:space="preserve">Limitaciones territoriales.</w:t>
      </w:r>
      <w:r w:rsidDel="00000000" w:rsidR="00000000" w:rsidRPr="00000000">
        <w:rPr>
          <w:rFonts w:ascii="Verdana" w:cs="Verdana" w:eastAsia="Verdana" w:hAnsi="Verdana"/>
          <w:b w:val="1"/>
          <w:bCs w:val="1"/>
          <w:color w:val="000000"/>
          <w:sz w:val="20"/>
          <w:szCs w:val="20"/>
          <w:rtl w:val="0"/>
        </w:rPr>
        <w:t xml:space="preserve"> </w:t>
      </w:r>
      <w:r w:rsidDel="00000000" w:rsidR="00000000" w:rsidRPr="00000000">
        <w:rPr>
          <w:rFonts w:ascii="Verdana" w:cs="Verdana" w:eastAsia="Verdana" w:hAnsi="Verdana"/>
          <w:color w:val="000000"/>
          <w:sz w:val="20"/>
          <w:szCs w:val="20"/>
          <w:rtl w:val="0"/>
        </w:rPr>
        <w:t xml:space="preserve">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r w:rsidDel="00000000" w:rsidR="00000000" w:rsidRPr="00000000">
        <w:rPr>
          <w:rtl w:val="0"/>
        </w:rPr>
      </w:r>
    </w:p>
    <w:p w:rsidR="00000000" w:rsidDel="00000000" w:rsidP="00000000" w:rsidRDefault="00000000" w:rsidRPr="00000000" w14:paraId="0000003E">
      <w:pPr>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3F">
      <w:pPr>
        <w:spacing w:after="120" w:line="276" w:lineRule="auto"/>
        <w:ind w:firstLine="709"/>
        <w:jc w:val="both"/>
        <w:rPr>
          <w:rFonts w:ascii="Verdana" w:cs="Verdana" w:eastAsia="Verdana" w:hAnsi="Verdana"/>
          <w:color w:val="000000"/>
        </w:rPr>
      </w:pPr>
      <w:r w:rsidDel="00000000" w:rsidR="00000000" w:rsidRPr="00000000">
        <w:rPr>
          <w:rFonts w:ascii="Verdana" w:cs="Verdana" w:eastAsia="Verdana" w:hAnsi="Verdana"/>
          <w:rtl w:val="0"/>
        </w:rPr>
        <w:t xml:space="preserve">Como se evidencia de la redacción del anterior artículo, la decisión de limitar las convocatorias a MiPymes que tengan su domicilio en el municipio o departamento donde se va a ejecutar el contrato es facultativa de la entidad, en tanto la </w:t>
      </w:r>
      <w:r w:rsidDel="00000000" w:rsidR="00000000" w:rsidRPr="00000000">
        <w:rPr>
          <w:rFonts w:ascii="Verdana" w:cs="Verdana" w:eastAsia="Verdana" w:hAnsi="Verdana"/>
          <w:color w:val="000000"/>
          <w:rtl w:val="0"/>
        </w:rPr>
        <w:t xml:space="preserve">norma se refiere a la facultad de la administración con el verbo infinitivo “poder”, no “deber”. </w:t>
      </w:r>
      <w:r w:rsidDel="00000000" w:rsidR="00000000" w:rsidRPr="00000000">
        <w:rPr>
          <w:rFonts w:ascii="Verdana" w:cs="Verdana" w:eastAsia="Verdana" w:hAnsi="Verdana"/>
          <w:rtl w:val="0"/>
        </w:rPr>
        <w:t xml:space="preserve">La Agencia Nacional de Contratación Pública – Colombia Compra Eficiente</w:t>
      </w:r>
      <w:r w:rsidDel="00000000" w:rsidR="00000000" w:rsidRPr="00000000">
        <w:rPr>
          <w:rFonts w:ascii="Verdana" w:cs="Verdana" w:eastAsia="Verdana" w:hAnsi="Verdana"/>
          <w:color w:val="000000"/>
          <w:rtl w:val="0"/>
        </w:rPr>
        <w:t xml:space="preserve"> ha sostenido que la decisión de limitar territorialmente una convocatoria a MiPymes es discrecional, y ha precisado que, de todos modos, esta debe justificarse con fundamento en los correspondientes “estudios del sector”, como se puede encontrar detalladamente en la “GUÍA PARA PROMOVER LA PARTICIPACIÓN DE LAS MIPYMES EN LOS PROCESOS DE COMPRA Y CONTRATACIÓN PÚBLICA”</w:t>
      </w:r>
      <w:r w:rsidDel="00000000" w:rsidR="00000000" w:rsidRPr="00000000">
        <w:rPr>
          <w:rFonts w:ascii="Verdana" w:cs="Verdana" w:eastAsia="Verdana" w:hAnsi="Verdana"/>
          <w:color w:val="000000"/>
          <w:vertAlign w:val="superscript"/>
        </w:rPr>
        <w:footnoteReference w:customMarkFollows="0" w:id="0"/>
      </w:r>
      <w:r w:rsidDel="00000000" w:rsidR="00000000" w:rsidRPr="00000000">
        <w:rPr>
          <w:rFonts w:ascii="Verdana" w:cs="Verdana" w:eastAsia="Verdana" w:hAnsi="Verdana"/>
          <w:color w:val="000000"/>
          <w:rtl w:val="0"/>
        </w:rPr>
        <w:t xml:space="preserve">.</w:t>
      </w:r>
    </w:p>
    <w:p w:rsidR="00000000" w:rsidDel="00000000" w:rsidP="00000000" w:rsidRDefault="00000000" w:rsidRPr="00000000" w14:paraId="00000040">
      <w:pPr>
        <w:spacing w:after="0" w:line="276" w:lineRule="auto"/>
        <w:ind w:firstLine="708"/>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Además, la entidad debe verificar los requisitos establecidos en los numerales 1 y 2 del artículo 2.2.1.2.4.2.2 del Decreto 1082 de 2015, modificado por el Decreto 1860 de 2021, como sigue:</w:t>
      </w:r>
    </w:p>
    <w:p w:rsidR="00000000" w:rsidDel="00000000" w:rsidP="00000000" w:rsidRDefault="00000000" w:rsidRPr="00000000" w14:paraId="00000041">
      <w:pPr>
        <w:spacing w:after="120" w:line="240" w:lineRule="auto"/>
        <w:ind w:left="709" w:right="616" w:firstLine="0"/>
        <w:jc w:val="both"/>
        <w:rPr>
          <w:rFonts w:ascii="Verdana" w:cs="Verdana" w:eastAsia="Verdana" w:hAnsi="Verdana"/>
          <w:b w:val="1"/>
          <w:bCs w:val="1"/>
          <w:color w:val="000000"/>
          <w:sz w:val="20"/>
          <w:szCs w:val="20"/>
        </w:rPr>
      </w:pPr>
      <w:r w:rsidDel="00000000" w:rsidR="00000000" w:rsidRPr="00000000">
        <w:rPr>
          <w:rtl w:val="0"/>
        </w:rPr>
      </w:r>
    </w:p>
    <w:p w:rsidR="00000000" w:rsidDel="00000000" w:rsidP="00000000" w:rsidRDefault="00000000" w:rsidRPr="00000000" w14:paraId="00000042">
      <w:pPr>
        <w:spacing w:after="120" w:line="240" w:lineRule="auto"/>
        <w:ind w:left="709" w:right="616" w:firstLine="0"/>
        <w:jc w:val="both"/>
        <w:rPr>
          <w:rFonts w:ascii="Verdana" w:cs="Verdana" w:eastAsia="Verdana" w:hAnsi="Verdana"/>
          <w:color w:val="000000"/>
          <w:sz w:val="20"/>
          <w:szCs w:val="20"/>
        </w:rPr>
      </w:pPr>
      <w:r w:rsidDel="00000000" w:rsidR="00000000" w:rsidRPr="00000000">
        <w:rPr>
          <w:rFonts w:ascii="Verdana" w:cs="Verdana" w:eastAsia="Verdana" w:hAnsi="Verdana"/>
          <w:b w:val="0"/>
          <w:bCs w:val="0"/>
          <w:color w:val="000000"/>
          <w:sz w:val="20"/>
          <w:szCs w:val="20"/>
          <w:rtl w:val="0"/>
        </w:rPr>
        <w:t xml:space="preserve">“Convocatorias Limitadas a Mipyme.</w:t>
      </w:r>
      <w:r w:rsidDel="00000000" w:rsidR="00000000" w:rsidRPr="00000000">
        <w:rPr>
          <w:rFonts w:ascii="Verdana" w:cs="Verdana" w:eastAsia="Verdana" w:hAnsi="Verdana"/>
          <w:b w:val="1"/>
          <w:bCs w:val="1"/>
          <w:color w:val="000000"/>
          <w:sz w:val="20"/>
          <w:szCs w:val="20"/>
          <w:rtl w:val="0"/>
        </w:rPr>
        <w:t xml:space="preserve"> </w:t>
      </w:r>
      <w:r w:rsidDel="00000000" w:rsidR="00000000" w:rsidRPr="00000000">
        <w:rPr>
          <w:rFonts w:ascii="Verdana" w:cs="Verdana" w:eastAsia="Verdana" w:hAnsi="Verdana"/>
          <w:color w:val="000000"/>
          <w:sz w:val="20"/>
          <w:szCs w:val="20"/>
          <w:rtl w:val="0"/>
        </w:rPr>
        <w:t xml:space="preserve">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br w:type="textWrapping"/>
        <w:br w:type="textWrapping"/>
        <w:t xml:space="preserve">1. El valor del Proceso de Contratación sea menor a ciento veinticinco mil dólares de los Estados Unidos de América (US$125.000), liquidados con la tasa de cambio que para el efecto determina cada dos años el Ministerio de Comercio, Industria y Turismo.</w:t>
        <w:br w:type="textWrapping"/>
        <w:br w:type="textWrapping"/>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rsidR="00000000" w:rsidDel="00000000" w:rsidP="00000000" w:rsidRDefault="00000000" w:rsidRPr="00000000" w14:paraId="00000043">
      <w:pPr>
        <w:spacing w:after="120" w:line="240" w:lineRule="auto"/>
        <w:ind w:left="709" w:right="616" w:firstLine="0"/>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br w:type="textWrapping"/>
        <w:t xml:space="preserve">Tratándose de personas jurídicas, las solicitudes solo las podrán realizar Mipyme, cuyo objeto social les permita ejecutar el contrato relacionado con el proceso contractual.</w:t>
      </w:r>
    </w:p>
    <w:p w:rsidR="00000000" w:rsidDel="00000000" w:rsidP="00000000" w:rsidRDefault="00000000" w:rsidRPr="00000000" w14:paraId="00000044">
      <w:pPr>
        <w:spacing w:after="0" w:line="240" w:lineRule="auto"/>
        <w:ind w:left="709" w:right="616" w:firstLine="0"/>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br w:type="textWrapping"/>
      </w:r>
      <w:r w:rsidDel="00000000" w:rsidR="00000000" w:rsidRPr="00000000">
        <w:rPr>
          <w:rFonts w:ascii="Verdana" w:cs="Verdana" w:eastAsia="Verdana" w:hAnsi="Verdana"/>
          <w:b w:val="1"/>
          <w:bCs w:val="1"/>
          <w:color w:val="000000"/>
          <w:sz w:val="20"/>
          <w:szCs w:val="20"/>
          <w:rtl w:val="0"/>
        </w:rPr>
        <w:t xml:space="preserve">Parágrafo.</w:t>
      </w:r>
      <w:r w:rsidDel="00000000" w:rsidR="00000000" w:rsidRPr="00000000">
        <w:rPr>
          <w:rFonts w:ascii="Verdana" w:cs="Verdana" w:eastAsia="Verdana" w:hAnsi="Verdana"/>
          <w:color w:val="000000"/>
          <w:sz w:val="20"/>
          <w:szCs w:val="20"/>
          <w:rtl w:val="0"/>
        </w:rPr>
        <w:t xml:space="preserve"> Las cooperativas y demás entidades de economía solidaria, siempre que tengan la calidad de Mipyme, podrán solicitar y participar en las convocatorias limitadas en las mismas condiciones dispuestas en el presente artículo”.</w:t>
      </w:r>
    </w:p>
    <w:p w:rsidR="00000000" w:rsidDel="00000000" w:rsidP="00000000" w:rsidRDefault="00000000" w:rsidRPr="00000000" w14:paraId="00000045">
      <w:pPr>
        <w:spacing w:after="0" w:line="276" w:lineRule="auto"/>
        <w:ind w:left="709" w:right="616" w:firstLine="0"/>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46">
      <w:pPr>
        <w:widowControl w:val="0"/>
        <w:spacing w:after="0" w:line="276" w:lineRule="auto"/>
        <w:jc w:val="both"/>
        <w:rPr>
          <w:rFonts w:ascii="Verdana" w:cs="Verdana" w:eastAsia="Verdana" w:hAnsi="Verdana"/>
        </w:rPr>
      </w:pPr>
      <w:r w:rsidDel="00000000" w:rsidR="00000000" w:rsidRPr="00000000">
        <w:rPr>
          <w:rFonts w:ascii="Verdana" w:cs="Verdana" w:eastAsia="Verdana" w:hAnsi="Verdana"/>
          <w:rtl w:val="0"/>
        </w:rPr>
        <w:tab/>
        <w:t xml:space="preserve">Como puede observarse en el artículo anterior, las solicitudes de limitación deben provenir de:</w:t>
      </w:r>
    </w:p>
    <w:p w:rsidR="00000000" w:rsidDel="00000000" w:rsidP="00000000" w:rsidRDefault="00000000" w:rsidRPr="00000000" w14:paraId="00000047">
      <w:pPr>
        <w:widowControl w:val="0"/>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1080"/>
        <w:jc w:val="both"/>
        <w:rPr>
          <w:rFonts w:ascii="Verdana" w:cs="Verdana" w:eastAsia="Verdana" w:hAnsi="Verdana"/>
          <w:b w:val="0"/>
          <w:bCs w:val="0"/>
          <w:i w:val="1"/>
          <w:iCs w:val="1"/>
          <w:smallCaps w:val="0"/>
          <w:strike w:val="0"/>
          <w:color w:val="000000"/>
          <w:sz w:val="22"/>
          <w:szCs w:val="22"/>
          <w:u w:val="none"/>
          <w:shd w:fill="auto" w:val="clear"/>
          <w:vertAlign w:val="baseline"/>
        </w:rPr>
      </w:pPr>
      <w:r w:rsidDel="00000000" w:rsidR="00000000" w:rsidRPr="00000000">
        <w:rPr>
          <w:rFonts w:ascii="Verdana" w:cs="Verdana" w:eastAsia="Verdana" w:hAnsi="Verdana"/>
          <w:b w:val="0"/>
          <w:bCs w:val="0"/>
          <w:i w:val="1"/>
          <w:iCs w:val="1"/>
          <w:smallCaps w:val="0"/>
          <w:strike w:val="0"/>
          <w:color w:val="000000"/>
          <w:sz w:val="22"/>
          <w:szCs w:val="22"/>
          <w:u w:val="none"/>
          <w:shd w:fill="auto" w:val="clear"/>
          <w:vertAlign w:val="baseline"/>
          <w:rtl w:val="0"/>
        </w:rPr>
        <w:t xml:space="preserve">Micro, Pequeña y Mediana empresa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0" w:right="0" w:firstLine="0"/>
        <w:jc w:val="both"/>
        <w:rPr>
          <w:rFonts w:ascii="Verdana" w:cs="Verdana" w:eastAsia="Verdana" w:hAnsi="Verdan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widowControl w:val="0"/>
        <w:spacing w:after="120" w:line="276" w:lineRule="auto"/>
        <w:jc w:val="both"/>
        <w:rPr>
          <w:rFonts w:ascii="Verdana" w:cs="Verdana" w:eastAsia="Verdana" w:hAnsi="Verdana"/>
        </w:rPr>
      </w:pPr>
      <w:r w:rsidDel="00000000" w:rsidR="00000000" w:rsidRPr="00000000">
        <w:rPr>
          <w:rFonts w:ascii="Verdana" w:cs="Verdana" w:eastAsia="Verdana" w:hAnsi="Verdana"/>
          <w:rtl w:val="0"/>
        </w:rPr>
        <w:t xml:space="preserve">Para empezar el artículo 2 de la Ley 590 de 2000, modificado por el artículo 43 de la Ley 1450 de 2011, define la empresa como: “toda unidad de explotación económica, realizada por persona natural o jurídica, en actividades agropecuarias, industriales, comerciales o de servicios, en el área rural o urbana“; y menciona como criterios para su clasificación por tamaño empresarial: el número de trabajadores totales, el valor de ventas brutas anuales y el valor de activos totales. </w:t>
      </w:r>
    </w:p>
    <w:p w:rsidR="00000000" w:rsidDel="00000000" w:rsidP="00000000" w:rsidRDefault="00000000" w:rsidRPr="00000000" w14:paraId="0000004B">
      <w:pPr>
        <w:spacing w:after="120" w:line="276" w:lineRule="auto"/>
        <w:ind w:firstLine="709"/>
        <w:jc w:val="both"/>
        <w:rPr>
          <w:rFonts w:ascii="Verdana" w:cs="Verdana" w:eastAsia="Verdana" w:hAnsi="Verdana"/>
        </w:rPr>
      </w:pPr>
      <w:r w:rsidDel="00000000" w:rsidR="00000000" w:rsidRPr="00000000">
        <w:rPr>
          <w:rFonts w:ascii="Verdana" w:cs="Verdana" w:eastAsia="Verdana" w:hAnsi="Verdana"/>
          <w:rtl w:val="0"/>
        </w:rPr>
        <w:t xml:space="preserve">Ahora bien, el artículo 2.2.1.13.2.2. del Decreto 1074 de 2015, adicionado por el Decreto 957 de 2019, establece que: </w:t>
      </w:r>
    </w:p>
    <w:p w:rsidR="00000000" w:rsidDel="00000000" w:rsidP="00000000" w:rsidRDefault="00000000" w:rsidRPr="00000000" w14:paraId="0000004C">
      <w:pPr>
        <w:spacing w:after="120" w:line="276" w:lineRule="auto"/>
        <w:ind w:firstLine="708"/>
        <w:jc w:val="both"/>
        <w:rPr>
          <w:rFonts w:ascii="Verdana" w:cs="Verdana" w:eastAsia="Verdana" w:hAnsi="Verdana"/>
        </w:rPr>
      </w:pPr>
      <w:r w:rsidDel="00000000" w:rsidR="00000000" w:rsidRPr="00000000">
        <w:rPr>
          <w:rFonts w:ascii="Verdana" w:cs="Verdana" w:eastAsia="Verdana" w:hAnsi="Verdana"/>
          <w:rtl w:val="0"/>
        </w:rPr>
        <w:t xml:space="preserve">1. La </w:t>
      </w:r>
      <w:r w:rsidDel="00000000" w:rsidR="00000000" w:rsidRPr="00000000">
        <w:rPr>
          <w:rFonts w:ascii="Verdana" w:cs="Verdana" w:eastAsia="Verdana" w:hAnsi="Verdana"/>
          <w:i w:val="1"/>
          <w:iCs w:val="1"/>
          <w:rtl w:val="0"/>
        </w:rPr>
        <w:t xml:space="preserve">microempresa</w:t>
      </w:r>
      <w:r w:rsidDel="00000000" w:rsidR="00000000" w:rsidRPr="00000000">
        <w:rPr>
          <w:rFonts w:ascii="Verdana" w:cs="Verdana" w:eastAsia="Verdana" w:hAnsi="Verdana"/>
          <w:rtl w:val="0"/>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p>
    <w:p w:rsidR="00000000" w:rsidDel="00000000" w:rsidP="00000000" w:rsidRDefault="00000000" w:rsidRPr="00000000" w14:paraId="0000004D">
      <w:pPr>
        <w:spacing w:after="120" w:line="276" w:lineRule="auto"/>
        <w:ind w:firstLine="708"/>
        <w:jc w:val="both"/>
        <w:rPr>
          <w:rFonts w:ascii="Verdana" w:cs="Verdana" w:eastAsia="Verdana" w:hAnsi="Verdana"/>
        </w:rPr>
      </w:pPr>
      <w:r w:rsidDel="00000000" w:rsidR="00000000" w:rsidRPr="00000000">
        <w:rPr>
          <w:rFonts w:ascii="Verdana" w:cs="Verdana" w:eastAsia="Verdana" w:hAnsi="Verdana"/>
          <w:rtl w:val="0"/>
        </w:rPr>
        <w:t xml:space="preserve">2. La </w:t>
      </w:r>
      <w:r w:rsidDel="00000000" w:rsidR="00000000" w:rsidRPr="00000000">
        <w:rPr>
          <w:rFonts w:ascii="Verdana" w:cs="Verdana" w:eastAsia="Verdana" w:hAnsi="Verdana"/>
          <w:i w:val="1"/>
          <w:iCs w:val="1"/>
          <w:rtl w:val="0"/>
        </w:rPr>
        <w:t xml:space="preserve">pequeña empresa</w:t>
      </w:r>
      <w:r w:rsidDel="00000000" w:rsidR="00000000" w:rsidRPr="00000000">
        <w:rPr>
          <w:rFonts w:ascii="Verdana" w:cs="Verdana" w:eastAsia="Verdana" w:hAnsi="Verdana"/>
          <w:rtl w:val="0"/>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rsidR="00000000" w:rsidDel="00000000" w:rsidP="00000000" w:rsidRDefault="00000000" w:rsidRPr="00000000" w14:paraId="0000004E">
      <w:pPr>
        <w:spacing w:after="0" w:line="276" w:lineRule="auto"/>
        <w:ind w:firstLine="709"/>
        <w:jc w:val="both"/>
        <w:rPr>
          <w:rFonts w:ascii="Verdana" w:cs="Verdana" w:eastAsia="Verdana" w:hAnsi="Verdana"/>
        </w:rPr>
      </w:pPr>
      <w:r w:rsidDel="00000000" w:rsidR="00000000" w:rsidRPr="00000000">
        <w:rPr>
          <w:rFonts w:ascii="Verdana" w:cs="Verdana" w:eastAsia="Verdana" w:hAnsi="Verdana"/>
          <w:rtl w:val="0"/>
        </w:rPr>
        <w:t xml:space="preserve">3. La </w:t>
      </w:r>
      <w:r w:rsidDel="00000000" w:rsidR="00000000" w:rsidRPr="00000000">
        <w:rPr>
          <w:rFonts w:ascii="Verdana" w:cs="Verdana" w:eastAsia="Verdana" w:hAnsi="Verdana"/>
          <w:i w:val="1"/>
          <w:iCs w:val="1"/>
          <w:rtl w:val="0"/>
        </w:rPr>
        <w:t xml:space="preserve">mediana empresa</w:t>
      </w:r>
      <w:r w:rsidDel="00000000" w:rsidR="00000000" w:rsidRPr="00000000">
        <w:rPr>
          <w:rFonts w:ascii="Verdana" w:cs="Verdana" w:eastAsia="Verdana" w:hAnsi="Verdana"/>
          <w:rtl w:val="0"/>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rsidR="00000000" w:rsidDel="00000000" w:rsidP="00000000" w:rsidRDefault="00000000" w:rsidRPr="00000000" w14:paraId="0000004F">
      <w:pPr>
        <w:spacing w:after="0" w:line="276" w:lineRule="auto"/>
        <w:ind w:firstLine="709"/>
        <w:jc w:val="both"/>
        <w:rPr>
          <w:rFonts w:ascii="Verdana" w:cs="Verdana" w:eastAsia="Verdana" w:hAnsi="Verdana"/>
        </w:rPr>
      </w:pP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1080"/>
        <w:jc w:val="both"/>
        <w:rPr>
          <w:rFonts w:ascii="Verdana" w:cs="Verdana" w:eastAsia="Verdana" w:hAnsi="Verdana"/>
          <w:b w:val="0"/>
          <w:bCs w:val="0"/>
          <w:i w:val="1"/>
          <w:iCs w:val="1"/>
          <w:smallCaps w:val="0"/>
          <w:strike w:val="0"/>
          <w:color w:val="000000"/>
          <w:sz w:val="22"/>
          <w:szCs w:val="22"/>
          <w:u w:val="none"/>
          <w:shd w:fill="auto" w:val="clear"/>
          <w:vertAlign w:val="baseline"/>
        </w:rPr>
      </w:pPr>
      <w:r w:rsidDel="00000000" w:rsidR="00000000" w:rsidRPr="00000000">
        <w:rPr>
          <w:rFonts w:ascii="Verdana" w:cs="Verdana" w:eastAsia="Verdana" w:hAnsi="Verdana"/>
          <w:b w:val="0"/>
          <w:bCs w:val="0"/>
          <w:i w:val="1"/>
          <w:iCs w:val="1"/>
          <w:smallCaps w:val="0"/>
          <w:strike w:val="0"/>
          <w:color w:val="000000"/>
          <w:sz w:val="22"/>
          <w:szCs w:val="22"/>
          <w:u w:val="none"/>
          <w:shd w:fill="auto" w:val="clear"/>
          <w:vertAlign w:val="baseline"/>
          <w:rtl w:val="0"/>
        </w:rPr>
        <w:t xml:space="preserve">Las cooperativas y demás entidades de economía solidaria, siempre que tengan la calidad de Mipyme</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0" w:right="0" w:firstLine="0"/>
        <w:jc w:val="both"/>
        <w:rPr>
          <w:rFonts w:ascii="Verdana" w:cs="Verdana" w:eastAsia="Verdana" w:hAnsi="Verdana"/>
          <w:b w:val="0"/>
          <w:bCs w:val="0"/>
          <w:i w:val="0"/>
          <w:iCs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52">
      <w:pPr>
        <w:spacing w:after="120" w:line="276" w:lineRule="auto"/>
        <w:ind w:firstLine="708"/>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A pesar de que las cooperativas, las asociaciones mutuales y, en general, las empresas de economía solidaria tienen, por disposición de la ley, la naturaleza sin ánimo de lucro, se distinguen de la generalidad de las ESAL.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rsidR="00000000" w:rsidDel="00000000" w:rsidP="00000000" w:rsidRDefault="00000000" w:rsidRPr="00000000" w14:paraId="00000053">
      <w:pPr>
        <w:widowControl w:val="0"/>
        <w:spacing w:after="120" w:line="276" w:lineRule="auto"/>
        <w:ind w:firstLine="708"/>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w:t>
      </w:r>
      <w:r w:rsidDel="00000000" w:rsidR="00000000" w:rsidRPr="00000000">
        <w:rPr>
          <w:rFonts w:ascii="Verdana" w:cs="Verdana" w:eastAsia="Verdana" w:hAnsi="Verdana"/>
          <w:i w:val="1"/>
          <w:iCs w:val="1"/>
          <w:color w:val="000000"/>
          <w:rtl w:val="0"/>
        </w:rPr>
        <w:t xml:space="preserve">objeto de producir, distribuir y consumir conjuntamente bienes y servicios para satisfacer las necesidades de sus miembros</w:t>
      </w:r>
      <w:r w:rsidDel="00000000" w:rsidR="00000000" w:rsidRPr="00000000">
        <w:rPr>
          <w:rFonts w:ascii="Verdana" w:cs="Verdana" w:eastAsia="Verdana" w:hAnsi="Verdana"/>
          <w:color w:val="000000"/>
          <w:rtl w:val="0"/>
        </w:rPr>
        <w:t xml:space="preserve"> y desarrollar obras de servicio a la comunidad en general, para lo cual deben estar constituidas como </w:t>
      </w:r>
      <w:r w:rsidDel="00000000" w:rsidR="00000000" w:rsidRPr="00000000">
        <w:rPr>
          <w:rFonts w:ascii="Verdana" w:cs="Verdana" w:eastAsia="Verdana" w:hAnsi="Verdana"/>
          <w:i w:val="1"/>
          <w:iCs w:val="1"/>
          <w:color w:val="000000"/>
          <w:rtl w:val="0"/>
        </w:rPr>
        <w:t xml:space="preserve">empresas</w:t>
      </w:r>
      <w:r w:rsidDel="00000000" w:rsidR="00000000" w:rsidRPr="00000000">
        <w:rPr>
          <w:rFonts w:ascii="Verdana" w:cs="Verdana" w:eastAsia="Verdana" w:hAnsi="Verdana"/>
          <w:color w:val="000000"/>
          <w:rtl w:val="0"/>
        </w:rPr>
        <w:t xml:space="preserve">. En el marco de las actividades económicas tendientes a la producción y distribución de bienes o prestación de servicios por parte de entidades de economía solidaria, la ley admite que estas provean esos bienes o presten tales servicios a Entidades Estatales.</w:t>
      </w:r>
    </w:p>
    <w:p w:rsidR="00000000" w:rsidDel="00000000" w:rsidP="00000000" w:rsidRDefault="00000000" w:rsidRPr="00000000" w14:paraId="00000054">
      <w:pPr>
        <w:spacing w:after="0" w:line="276" w:lineRule="auto"/>
        <w:ind w:firstLine="709"/>
        <w:jc w:val="both"/>
        <w:rPr>
          <w:rFonts w:ascii="Verdana" w:cs="Verdana" w:eastAsia="Verdana" w:hAnsi="Verdana"/>
        </w:rPr>
      </w:pPr>
      <w:r w:rsidDel="00000000" w:rsidR="00000000" w:rsidRPr="00000000">
        <w:rPr>
          <w:rFonts w:ascii="Verdana" w:cs="Verdana" w:eastAsia="Verdana" w:hAnsi="Verdana"/>
          <w:rtl w:val="0"/>
        </w:rPr>
        <w:t xml:space="preserve">Teniendo en cuenta lo anterior, esta Agencia ha sostenido de forma reiterada la tesis consistente en que las ESAL no pueden, por regla general, acceder a los beneficios a favor de las Mipymes ni participar en los procesos contractuales limitados a estas. Este argumento, considerando que: </w:t>
      </w:r>
    </w:p>
    <w:p w:rsidR="00000000" w:rsidDel="00000000" w:rsidP="00000000" w:rsidRDefault="00000000" w:rsidRPr="00000000" w14:paraId="00000055">
      <w:pPr>
        <w:spacing w:after="0" w:line="276" w:lineRule="auto"/>
        <w:ind w:left="709" w:right="709"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56">
      <w:pPr>
        <w:spacing w:after="0" w:line="240" w:lineRule="auto"/>
        <w:ind w:left="709" w:right="709" w:firstLine="0"/>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“en virtud del artículo 43 de la Ley 1450 de 2011, que modificó el artículo 2 de la Ley 590 de 2000, […] puede decirse que solo podrán ser Mipymes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mipymes. Lo anterior teniendo en cuenta que </w:t>
      </w:r>
      <w:r w:rsidDel="00000000" w:rsidR="00000000" w:rsidRPr="00000000">
        <w:rPr>
          <w:rFonts w:ascii="Verdana" w:cs="Verdana" w:eastAsia="Verdana" w:hAnsi="Verdana"/>
          <w:i w:val="1"/>
          <w:iCs w:val="1"/>
          <w:sz w:val="20"/>
          <w:szCs w:val="20"/>
          <w:rtl w:val="0"/>
        </w:rPr>
        <w:t xml:space="preserve">no responden al concepto de empresa que involucra dicha categoría con ánimo de lucro, por lo que no resulta jurídicamente válido aplicar a las ESAL las normas dirigidas a las Mipymes</w:t>
      </w:r>
      <w:r w:rsidDel="00000000" w:rsidR="00000000" w:rsidRPr="00000000">
        <w:rPr>
          <w:rFonts w:ascii="Verdana" w:cs="Verdana" w:eastAsia="Verdana" w:hAnsi="Verdana"/>
          <w:sz w:val="20"/>
          <w:szCs w:val="20"/>
          <w:rtl w:val="0"/>
        </w:rPr>
        <w:t xml:space="preserve">”</w:t>
      </w:r>
      <w:r w:rsidDel="00000000" w:rsidR="00000000" w:rsidRPr="00000000">
        <w:rPr>
          <w:rFonts w:ascii="Verdana" w:cs="Verdana" w:eastAsia="Verdana" w:hAnsi="Verdana"/>
          <w:sz w:val="20"/>
          <w:szCs w:val="20"/>
          <w:vertAlign w:val="superscript"/>
        </w:rPr>
        <w:footnoteReference w:customMarkFollows="0" w:id="1"/>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7">
      <w:pPr>
        <w:spacing w:after="0" w:line="276" w:lineRule="auto"/>
        <w:ind w:left="709" w:right="709"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58">
      <w:pPr>
        <w:widowControl w:val="0"/>
        <w:spacing w:after="120" w:line="276" w:lineRule="auto"/>
        <w:ind w:firstLine="708"/>
        <w:jc w:val="both"/>
        <w:rPr>
          <w:rFonts w:ascii="Verdana" w:cs="Verdana" w:eastAsia="Verdana" w:hAnsi="Verdana"/>
        </w:rPr>
      </w:pPr>
      <w:r w:rsidDel="00000000" w:rsidR="00000000" w:rsidRPr="00000000">
        <w:rPr>
          <w:rFonts w:ascii="Verdana" w:cs="Verdana" w:eastAsia="Verdana" w:hAnsi="Verdana"/>
          <w:rtl w:val="0"/>
        </w:rPr>
        <w:t xml:space="preserve">Según esta postura, y en virtud de lo señalado en el artículo 43 de la Ley 1450 de 2011, que modificó el artículo 2 de la Ley 590 de 2000, solo podrán ser consideradas Mipymes las empresas, pues son unidades de explotación económica que buscan el reparto de utilidades entre los miembros de la empresa, sin perjuicio de las precisiones sobre las cooperativa y entidades de economía solidaria antes mencionadas. </w:t>
      </w:r>
    </w:p>
    <w:p w:rsidR="00000000" w:rsidDel="00000000" w:rsidP="00000000" w:rsidRDefault="00000000" w:rsidRPr="00000000" w14:paraId="00000059">
      <w:pPr>
        <w:widowControl w:val="0"/>
        <w:spacing w:after="120" w:line="276" w:lineRule="auto"/>
        <w:ind w:firstLine="708"/>
        <w:jc w:val="both"/>
        <w:rPr>
          <w:rFonts w:ascii="Verdana" w:cs="Verdana" w:eastAsia="Verdana" w:hAnsi="Verdana"/>
        </w:rPr>
      </w:pPr>
      <w:r w:rsidDel="00000000" w:rsidR="00000000" w:rsidRPr="00000000">
        <w:rPr>
          <w:rFonts w:ascii="Verdana" w:cs="Verdana" w:eastAsia="Verdana" w:hAnsi="Verdana"/>
          <w:rtl w:val="0"/>
        </w:rPr>
        <w:t xml:space="preserve">En efecto, lo anterior no es aplicable a las ESAL, dado que la característica determinante que explica su nombre y las diferencias fundamentales con las sociedades comerciales es la ausencia de ánimo de lucro. Por lo que, estas no se regulan por lo dispuesto en el Libro Segundo del Código de Comercio que enumera las sociedades comerciales ni cumplen con la finalidad de repartición de utilidades obtenidas en la empresa mencionada para el contrato de sociedad en el artículo 98 del Código de Comercio.</w:t>
      </w:r>
    </w:p>
    <w:p w:rsidR="00000000" w:rsidDel="00000000" w:rsidP="00000000" w:rsidRDefault="00000000" w:rsidRPr="00000000" w14:paraId="0000005A">
      <w:pPr>
        <w:widowControl w:val="0"/>
        <w:spacing w:after="120" w:line="276" w:lineRule="auto"/>
        <w:ind w:firstLine="708"/>
        <w:jc w:val="both"/>
        <w:rPr>
          <w:rFonts w:ascii="Verdana" w:cs="Verdana" w:eastAsia="Verdana" w:hAnsi="Verdana"/>
        </w:rPr>
      </w:pPr>
      <w:r w:rsidDel="00000000" w:rsidR="00000000" w:rsidRPr="00000000">
        <w:rPr>
          <w:rFonts w:ascii="Verdana" w:cs="Verdana" w:eastAsia="Verdana" w:hAnsi="Verdana"/>
          <w:rtl w:val="0"/>
        </w:rPr>
        <w:t xml:space="preserve">De hecho, las ESAL, que incluyen corporaciones y asociaciones, se encuentran reguladas en el Código Civil –entre otras normas concordantes–, de lo que se sigue que no constituyen formas de sociedad comercial, sino formas de organización civil con fines esencialmente altruistas o de interés general, que se conforman entre personas que tienen como finalidad contribuir con su esfuerzo, y hasta con sus bienes, para ayudar a la comunidad</w:t>
      </w:r>
      <w:r w:rsidDel="00000000" w:rsidR="00000000" w:rsidRPr="00000000">
        <w:rPr>
          <w:rFonts w:ascii="Verdana" w:cs="Verdana" w:eastAsia="Verdana" w:hAnsi="Verdana"/>
          <w:vertAlign w:val="superscript"/>
        </w:rPr>
        <w:footnoteReference w:customMarkFollows="0" w:id="2"/>
      </w:r>
      <w:r w:rsidDel="00000000" w:rsidR="00000000" w:rsidRPr="00000000">
        <w:rPr>
          <w:rFonts w:ascii="Verdana" w:cs="Verdana" w:eastAsia="Verdana" w:hAnsi="Verdana"/>
          <w:rtl w:val="0"/>
        </w:rPr>
        <w:t xml:space="preserve">. La ausencia de ánimo de lucro es, entonces, la característica determinante de estas corporaciones u organizaciones, lo que explica su nombre y las diferencias de manera fundamental de las sociedades comerciales.</w:t>
      </w:r>
    </w:p>
    <w:p w:rsidR="00000000" w:rsidDel="00000000" w:rsidP="00000000" w:rsidRDefault="00000000" w:rsidRPr="00000000" w14:paraId="0000005B">
      <w:pPr>
        <w:spacing w:after="0" w:before="120" w:line="276" w:lineRule="auto"/>
        <w:ind w:firstLine="709"/>
        <w:jc w:val="both"/>
        <w:rPr>
          <w:rFonts w:ascii="Verdana" w:cs="Verdana" w:eastAsia="Verdana" w:hAnsi="Verdana"/>
        </w:rPr>
      </w:pPr>
      <w:r w:rsidDel="00000000" w:rsidR="00000000" w:rsidRPr="00000000">
        <w:rPr>
          <w:rFonts w:ascii="Verdana" w:cs="Verdana" w:eastAsia="Verdana" w:hAnsi="Verdana"/>
          <w:rtl w:val="0"/>
        </w:rPr>
        <w:t xml:space="preserve">Así, la Corte Constitucional, en la sentencia C-287 de 2012, reiteró que la diferencia existente entre las sociedades comerciales y las ESAL es que estas últimas no reparten sus utilidades entre los socios</w:t>
      </w:r>
      <w:r w:rsidDel="00000000" w:rsidR="00000000" w:rsidRPr="00000000">
        <w:rPr>
          <w:rFonts w:ascii="Verdana" w:cs="Verdana" w:eastAsia="Verdana" w:hAnsi="Verdana"/>
          <w:vertAlign w:val="superscript"/>
        </w:rPr>
        <w:footnoteReference w:customMarkFollows="0" w:id="3"/>
      </w:r>
      <w:r w:rsidDel="00000000" w:rsidR="00000000" w:rsidRPr="00000000">
        <w:rPr>
          <w:rFonts w:ascii="Verdana" w:cs="Verdana" w:eastAsia="Verdana" w:hAnsi="Verdana"/>
          <w:rtl w:val="0"/>
        </w:rPr>
        <w:t xml:space="preserve">:</w:t>
      </w:r>
    </w:p>
    <w:p w:rsidR="00000000" w:rsidDel="00000000" w:rsidP="00000000" w:rsidRDefault="00000000" w:rsidRPr="00000000" w14:paraId="0000005C">
      <w:pPr>
        <w:spacing w:after="0" w:line="276" w:lineRule="auto"/>
        <w:ind w:left="709" w:right="709" w:firstLine="0"/>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D">
      <w:pPr>
        <w:spacing w:after="0" w:line="240" w:lineRule="auto"/>
        <w:ind w:left="709" w:right="709" w:firstLine="0"/>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w:t>
      </w:r>
    </w:p>
    <w:p w:rsidR="00000000" w:rsidDel="00000000" w:rsidP="00000000" w:rsidRDefault="00000000" w:rsidRPr="00000000" w14:paraId="0000005E">
      <w:pPr>
        <w:spacing w:after="0" w:line="276" w:lineRule="auto"/>
        <w:ind w:firstLine="709"/>
        <w:jc w:val="both"/>
        <w:rPr>
          <w:rFonts w:ascii="Verdana" w:cs="Verdana" w:eastAsia="Verdana" w:hAnsi="Verdana"/>
        </w:rPr>
      </w:pPr>
      <w:r w:rsidDel="00000000" w:rsidR="00000000" w:rsidRPr="00000000">
        <w:rPr>
          <w:rtl w:val="0"/>
        </w:rPr>
      </w:r>
    </w:p>
    <w:p w:rsidR="00000000" w:rsidDel="00000000" w:rsidP="00000000" w:rsidRDefault="00000000" w:rsidRPr="00000000" w14:paraId="0000005F">
      <w:pPr>
        <w:spacing w:after="0" w:line="276" w:lineRule="auto"/>
        <w:ind w:firstLine="708"/>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De esta manera, la posibilidad de solicitar la limitación territorial de las convocatorias a Mipymes no es extensible a todas las ESAL, sino únicamente a aquellas que corresponden al concepto de cooperativas y demás entes considerados de economía solidaria, </w:t>
      </w:r>
      <w:r w:rsidDel="00000000" w:rsidR="00000000" w:rsidRPr="00000000">
        <w:rPr>
          <w:rFonts w:ascii="Verdana" w:cs="Verdana" w:eastAsia="Verdana" w:hAnsi="Verdana"/>
          <w:rtl w:val="0"/>
        </w:rPr>
        <w:t xml:space="preserve">en los términos del artículo 6 de la Ley 454 de 1998 –norma a la que remite el artículo 23 de la Ley de Emprendimiento–.</w:t>
      </w:r>
      <w:r w:rsidDel="00000000" w:rsidR="00000000" w:rsidRPr="00000000">
        <w:rPr>
          <w:rFonts w:ascii="Verdana" w:cs="Verdana" w:eastAsia="Verdana" w:hAnsi="Verdana"/>
          <w:color w:val="000000"/>
          <w:rtl w:val="0"/>
        </w:rPr>
        <w:t xml:space="preserve"> </w:t>
      </w:r>
      <w:r w:rsidDel="00000000" w:rsidR="00000000" w:rsidRPr="00000000">
        <w:rPr>
          <w:rFonts w:ascii="Verdana" w:cs="Verdana" w:eastAsia="Verdana" w:hAnsi="Verdana"/>
          <w:rtl w:val="0"/>
        </w:rPr>
        <w:t xml:space="preserve">En tal sentido, debe analizarse si la ESAL cumple con las características establecidas en dicho artículo, para considerarla una organización de economía solidaria. </w:t>
      </w:r>
      <w:r w:rsidDel="00000000" w:rsidR="00000000" w:rsidRPr="00000000">
        <w:rPr>
          <w:rFonts w:ascii="Verdana" w:cs="Verdana" w:eastAsia="Verdana" w:hAnsi="Verdana"/>
          <w:color w:val="000000"/>
          <w:rtl w:val="0"/>
        </w:rPr>
        <w:t xml:space="preserve">Solo las que cumplan estos requisitos podrán ser asimiladas a las Mipymes y acceder a los requisitos diferenciales de la Ley 2069 de 2020, así como participar en las convocatorias limitadas a estas, pudiendo incluso manifestar su interés de participar en el proceso de selección de manera previa a la expedición de la resolución de apertura en los términos el artículo 2.2.1.2.4.2.2 del Decreto 1082 de 2015.</w:t>
      </w:r>
    </w:p>
    <w:p w:rsidR="00000000" w:rsidDel="00000000" w:rsidP="00000000" w:rsidRDefault="00000000" w:rsidRPr="00000000" w14:paraId="00000060">
      <w:pPr>
        <w:widowControl w:val="0"/>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0"/>
        <w:jc w:val="both"/>
        <w:rPr>
          <w:rFonts w:ascii="Verdana" w:cs="Verdana" w:eastAsia="Verdana" w:hAnsi="Verdana"/>
          <w:b w:val="1"/>
          <w:bCs w:val="1"/>
          <w:i w:val="0"/>
          <w:iCs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2"/>
          <w:szCs w:val="22"/>
          <w:u w:val="none"/>
          <w:shd w:fill="auto" w:val="clear"/>
          <w:vertAlign w:val="baseline"/>
          <w:rtl w:val="0"/>
        </w:rPr>
        <w:t xml:space="preserve">Referencias normativas, jurisprudenciales y otras fuentes:</w:t>
      </w:r>
    </w:p>
    <w:p w:rsidR="00000000" w:rsidDel="00000000" w:rsidP="00000000" w:rsidRDefault="00000000" w:rsidRPr="00000000" w14:paraId="00000062">
      <w:pPr>
        <w:widowControl w:val="0"/>
        <w:spacing w:after="0" w:line="276" w:lineRule="auto"/>
        <w:jc w:val="both"/>
        <w:rPr>
          <w:rFonts w:ascii="Verdana" w:cs="Verdana" w:eastAsia="Verdana" w:hAnsi="Verdana"/>
        </w:rPr>
      </w:pPr>
      <w:r w:rsidDel="00000000" w:rsidR="00000000" w:rsidRPr="00000000">
        <w:rPr>
          <w:rtl w:val="0"/>
        </w:rPr>
      </w:r>
    </w:p>
    <w:tbl>
      <w:tblPr>
        <w:tblStyle w:val="Table3"/>
        <w:tblW w:w="8647.0" w:type="dxa"/>
        <w:jc w:val="left"/>
        <w:tblInd w:w="137.0" w:type="dxa"/>
        <w:tblBorders>
          <w:top w:color="000000" w:space="0" w:sz="4" w:val="dotted"/>
          <w:left w:color="000000" w:space="0" w:sz="4" w:val="dotted"/>
          <w:bottom w:color="000000" w:space="0" w:sz="4" w:val="dotted"/>
          <w:right w:color="000000" w:space="0" w:sz="4" w:val="dotted"/>
          <w:insideH w:color="000000" w:space="0" w:sz="4" w:val="dotted"/>
          <w:insideV w:color="000000" w:space="0" w:sz="4" w:val="dotted"/>
        </w:tblBorders>
        <w:tblLayout w:type="fixed"/>
        <w:tblLook w:val="0400"/>
      </w:tblPr>
      <w:tblGrid>
        <w:gridCol w:w="8647"/>
        <w:tblGridChange w:id="0">
          <w:tblGrid>
            <w:gridCol w:w="8647"/>
          </w:tblGrid>
        </w:tblGridChange>
      </w:tblGrid>
      <w:tr>
        <w:trPr>
          <w:cantSplit w:val="0"/>
          <w:trHeight w:val="870" w:hRule="atLeast"/>
          <w:tblHeader w:val="0"/>
        </w:trPr>
        <w:tc>
          <w:tcPr/>
          <w:p w:rsidR="00000000" w:rsidDel="00000000" w:rsidP="00000000" w:rsidRDefault="00000000" w:rsidRPr="00000000" w14:paraId="00000063">
            <w:pPr>
              <w:widowControl w:val="0"/>
              <w:numPr>
                <w:ilvl w:val="0"/>
                <w:numId w:val="2"/>
              </w:numPr>
              <w:spacing w:line="276" w:lineRule="auto"/>
              <w:ind w:left="720" w:hanging="360"/>
              <w:jc w:val="both"/>
              <w:rPr>
                <w:rFonts w:ascii="Verdana" w:cs="Verdana" w:eastAsia="Verdana" w:hAnsi="Verdana"/>
              </w:rPr>
            </w:pPr>
            <w:r w:rsidDel="00000000" w:rsidR="00000000" w:rsidRPr="00000000">
              <w:rPr>
                <w:rFonts w:ascii="Verdana" w:cs="Verdana" w:eastAsia="Verdana" w:hAnsi="Verdana"/>
                <w:rtl w:val="0"/>
              </w:rPr>
              <w:t xml:space="preserve">Ley 454 de 1998, artículos 2 y 6.</w:t>
            </w:r>
          </w:p>
          <w:p w:rsidR="00000000" w:rsidDel="00000000" w:rsidP="00000000" w:rsidRDefault="00000000" w:rsidRPr="00000000" w14:paraId="00000064">
            <w:pPr>
              <w:widowControl w:val="0"/>
              <w:numPr>
                <w:ilvl w:val="0"/>
                <w:numId w:val="2"/>
              </w:numPr>
              <w:spacing w:line="276" w:lineRule="auto"/>
              <w:ind w:left="720" w:hanging="360"/>
              <w:jc w:val="both"/>
              <w:rPr>
                <w:rFonts w:ascii="Verdana" w:cs="Verdana" w:eastAsia="Verdana" w:hAnsi="Verdana"/>
              </w:rPr>
            </w:pPr>
            <w:r w:rsidDel="00000000" w:rsidR="00000000" w:rsidRPr="00000000">
              <w:rPr>
                <w:rFonts w:ascii="Verdana" w:cs="Verdana" w:eastAsia="Verdana" w:hAnsi="Verdana"/>
                <w:rtl w:val="0"/>
              </w:rPr>
              <w:t xml:space="preserve">Decreto 1074 de 2015, artículo 2.2.1.13.2.2.</w:t>
            </w:r>
          </w:p>
          <w:p w:rsidR="00000000" w:rsidDel="00000000" w:rsidP="00000000" w:rsidRDefault="00000000" w:rsidRPr="00000000" w14:paraId="00000065">
            <w:pPr>
              <w:widowControl w:val="0"/>
              <w:numPr>
                <w:ilvl w:val="0"/>
                <w:numId w:val="2"/>
              </w:numPr>
              <w:spacing w:line="276" w:lineRule="auto"/>
              <w:ind w:left="720" w:hanging="360"/>
              <w:jc w:val="both"/>
              <w:rPr>
                <w:rFonts w:ascii="Verdana" w:cs="Verdana" w:eastAsia="Verdana" w:hAnsi="Verdana"/>
              </w:rPr>
            </w:pPr>
            <w:r w:rsidDel="00000000" w:rsidR="00000000" w:rsidRPr="00000000">
              <w:rPr>
                <w:rFonts w:ascii="Verdana" w:cs="Verdana" w:eastAsia="Verdana" w:hAnsi="Verdana"/>
                <w:rtl w:val="0"/>
              </w:rPr>
              <w:t xml:space="preserve">Ley 590 de 2000, artículo 2.</w:t>
            </w:r>
          </w:p>
          <w:p w:rsidR="00000000" w:rsidDel="00000000" w:rsidP="00000000" w:rsidRDefault="00000000" w:rsidRPr="00000000" w14:paraId="00000066">
            <w:pPr>
              <w:widowControl w:val="0"/>
              <w:numPr>
                <w:ilvl w:val="0"/>
                <w:numId w:val="2"/>
              </w:numPr>
              <w:spacing w:line="276" w:lineRule="auto"/>
              <w:ind w:left="720" w:hanging="360"/>
              <w:jc w:val="both"/>
              <w:rPr>
                <w:rFonts w:ascii="Verdana" w:cs="Verdana" w:eastAsia="Verdana" w:hAnsi="Verdana"/>
              </w:rPr>
            </w:pPr>
            <w:r w:rsidDel="00000000" w:rsidR="00000000" w:rsidRPr="00000000">
              <w:rPr>
                <w:rFonts w:ascii="Verdana" w:cs="Verdana" w:eastAsia="Verdana" w:hAnsi="Verdana"/>
                <w:rtl w:val="0"/>
              </w:rPr>
              <w:t xml:space="preserve">Ley 1450 de 2011, artículo 43.</w:t>
            </w:r>
          </w:p>
          <w:p w:rsidR="00000000" w:rsidDel="00000000" w:rsidP="00000000" w:rsidRDefault="00000000" w:rsidRPr="00000000" w14:paraId="00000067">
            <w:pPr>
              <w:widowControl w:val="0"/>
              <w:numPr>
                <w:ilvl w:val="0"/>
                <w:numId w:val="2"/>
              </w:numPr>
              <w:spacing w:line="276" w:lineRule="auto"/>
              <w:ind w:left="720" w:hanging="360"/>
              <w:jc w:val="both"/>
              <w:rPr>
                <w:rFonts w:ascii="Verdana" w:cs="Verdana" w:eastAsia="Verdana" w:hAnsi="Verdana"/>
              </w:rPr>
            </w:pPr>
            <w:r w:rsidDel="00000000" w:rsidR="00000000" w:rsidRPr="00000000">
              <w:rPr>
                <w:rFonts w:ascii="Verdana" w:cs="Verdana" w:eastAsia="Verdana" w:hAnsi="Verdana"/>
                <w:rtl w:val="0"/>
              </w:rPr>
              <w:t xml:space="preserve">Decreto 1082 de 2015, artículos 2.2.1.2.4.2.2 y 2.2.1.2.4.2.3.</w:t>
            </w:r>
          </w:p>
          <w:p w:rsidR="00000000" w:rsidDel="00000000" w:rsidP="00000000" w:rsidRDefault="00000000" w:rsidRPr="00000000" w14:paraId="00000068">
            <w:pPr>
              <w:widowControl w:val="0"/>
              <w:numPr>
                <w:ilvl w:val="0"/>
                <w:numId w:val="2"/>
              </w:numPr>
              <w:spacing w:line="276" w:lineRule="auto"/>
              <w:ind w:left="720" w:hanging="360"/>
              <w:jc w:val="both"/>
              <w:rPr>
                <w:rFonts w:ascii="Verdana" w:cs="Verdana" w:eastAsia="Verdana" w:hAnsi="Verdana"/>
              </w:rPr>
            </w:pPr>
            <w:r w:rsidDel="00000000" w:rsidR="00000000" w:rsidRPr="00000000">
              <w:rPr>
                <w:rFonts w:ascii="Verdana" w:cs="Verdana" w:eastAsia="Verdana" w:hAnsi="Verdana"/>
                <w:rtl w:val="0"/>
              </w:rPr>
              <w:t xml:space="preserve">Decreto 957 de 2019.</w:t>
            </w:r>
          </w:p>
          <w:p w:rsidR="00000000" w:rsidDel="00000000" w:rsidP="00000000" w:rsidRDefault="00000000" w:rsidRPr="00000000" w14:paraId="00000069">
            <w:pPr>
              <w:widowControl w:val="0"/>
              <w:numPr>
                <w:ilvl w:val="0"/>
                <w:numId w:val="2"/>
              </w:numPr>
              <w:spacing w:line="276" w:lineRule="auto"/>
              <w:ind w:left="720" w:hanging="360"/>
              <w:jc w:val="both"/>
              <w:rPr>
                <w:rFonts w:ascii="Verdana" w:cs="Verdana" w:eastAsia="Verdana" w:hAnsi="Verdana"/>
              </w:rPr>
            </w:pPr>
            <w:r w:rsidDel="00000000" w:rsidR="00000000" w:rsidRPr="00000000">
              <w:rPr>
                <w:rFonts w:ascii="Verdana" w:cs="Verdana" w:eastAsia="Verdana" w:hAnsi="Verdana"/>
                <w:rtl w:val="0"/>
              </w:rPr>
              <w:t xml:space="preserve">Ley 2069 de 2020, artículo 23, 31 y 32.</w:t>
            </w:r>
          </w:p>
          <w:p w:rsidR="00000000" w:rsidDel="00000000" w:rsidP="00000000" w:rsidRDefault="00000000" w:rsidRPr="00000000" w14:paraId="0000006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Verdana" w:cs="Verdana" w:eastAsia="Verdana" w:hAnsi="Verdana"/>
                <w:b w:val="0"/>
                <w:bCs w:val="0"/>
                <w:i w:val="0"/>
                <w:iCs w:val="0"/>
                <w:smallCaps w:val="0"/>
                <w:strike w:val="0"/>
                <w:color w:val="7030a0"/>
                <w:sz w:val="22"/>
                <w:szCs w:val="22"/>
                <w:u w:val="none"/>
                <w:shd w:fill="auto" w:val="clear"/>
                <w:vertAlign w:val="baseline"/>
              </w:rPr>
            </w:pPr>
            <w:r w:rsidDel="00000000" w:rsidR="00000000" w:rsidRPr="00000000">
              <w:rPr>
                <w:rFonts w:ascii="Verdana" w:cs="Verdana" w:eastAsia="Verdana" w:hAnsi="Verdana"/>
                <w:b w:val="0"/>
                <w:bCs w:val="0"/>
                <w:i w:val="0"/>
                <w:iCs w:val="0"/>
                <w:smallCaps w:val="0"/>
                <w:strike w:val="0"/>
                <w:color w:val="000000"/>
                <w:sz w:val="22"/>
                <w:szCs w:val="22"/>
                <w:u w:val="none"/>
                <w:shd w:fill="auto" w:val="clear"/>
                <w:vertAlign w:val="baseline"/>
                <w:rtl w:val="0"/>
              </w:rPr>
              <w:t xml:space="preserve">Código de Comercio: Artículo 98 y 100.</w:t>
            </w:r>
            <w:r w:rsidDel="00000000" w:rsidR="00000000" w:rsidRPr="00000000">
              <w:rPr>
                <w:rtl w:val="0"/>
              </w:rPr>
            </w:r>
          </w:p>
          <w:p w:rsidR="00000000" w:rsidDel="00000000" w:rsidP="00000000" w:rsidRDefault="00000000" w:rsidRPr="00000000" w14:paraId="0000006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Verdana" w:cs="Verdana" w:eastAsia="Verdana" w:hAnsi="Verdana"/>
                <w:b w:val="0"/>
                <w:bCs w:val="0"/>
                <w:i w:val="0"/>
                <w:iCs w:val="0"/>
                <w:smallCaps w:val="0"/>
                <w:strike w:val="0"/>
                <w:color w:val="7030a0"/>
                <w:sz w:val="22"/>
                <w:szCs w:val="22"/>
                <w:u w:val="none"/>
                <w:shd w:fill="auto" w:val="clear"/>
                <w:vertAlign w:val="baseline"/>
              </w:rPr>
            </w:pPr>
            <w:r w:rsidDel="00000000" w:rsidR="00000000" w:rsidRPr="00000000">
              <w:rPr>
                <w:rFonts w:ascii="Verdana" w:cs="Verdana" w:eastAsia="Verdana" w:hAnsi="Verdana"/>
                <w:b w:val="0"/>
                <w:bCs w:val="0"/>
                <w:i w:val="0"/>
                <w:iCs w:val="0"/>
                <w:smallCaps w:val="0"/>
                <w:strike w:val="0"/>
                <w:color w:val="000000"/>
                <w:sz w:val="22"/>
                <w:szCs w:val="22"/>
                <w:u w:val="none"/>
                <w:shd w:fill="auto" w:val="clear"/>
                <w:vertAlign w:val="baseline"/>
                <w:rtl w:val="0"/>
              </w:rPr>
              <w:t xml:space="preserve">GUÍA PARA PROMOVER LA PARTICIPACIÓN DE LAS MIPYMES EN LOS PROCESOS DE COMPRA Y CONTRATACIÓN PÚBLICA </w:t>
            </w:r>
            <w:hyperlink r:id="rId10">
              <w:r w:rsidDel="00000000" w:rsidR="00000000" w:rsidRPr="00000000">
                <w:rPr>
                  <w:rFonts w:ascii="Verdana" w:cs="Verdana" w:eastAsia="Verdana" w:hAnsi="Verdana"/>
                  <w:b w:val="0"/>
                  <w:bCs w:val="0"/>
                  <w:i w:val="0"/>
                  <w:iCs w:val="0"/>
                  <w:smallCaps w:val="0"/>
                  <w:strike w:val="0"/>
                  <w:color w:val="0000ff"/>
                  <w:sz w:val="22"/>
                  <w:szCs w:val="22"/>
                  <w:u w:val="single"/>
                  <w:shd w:fill="auto" w:val="clear"/>
                  <w:vertAlign w:val="baseline"/>
                  <w:rtl w:val="0"/>
                </w:rPr>
                <w:t xml:space="preserve">https://www.colombiacompra.gov.co/sites/cce_public/files/cce_documents/guia_para_promover_la_participacion_de_las_mipymes_en_los_procesos_de_compra_publica_cce-gad-gi-26_1.pdf</w:t>
              </w:r>
            </w:hyperlink>
            <w:r w:rsidDel="00000000" w:rsidR="00000000" w:rsidRPr="00000000">
              <w:rPr>
                <w:rFonts w:ascii="Verdana" w:cs="Verdana" w:eastAsia="Verdana" w:hAnsi="Verdana"/>
                <w:b w:val="0"/>
                <w:bCs w:val="0"/>
                <w:i w:val="0"/>
                <w:iCs w:val="0"/>
                <w:smallCaps w:val="0"/>
                <w:strike w:val="0"/>
                <w:color w:val="7030a0"/>
                <w:sz w:val="22"/>
                <w:szCs w:val="22"/>
                <w:u w:val="none"/>
                <w:shd w:fill="auto" w:val="clear"/>
                <w:vertAlign w:val="baseline"/>
                <w:rtl w:val="0"/>
              </w:rPr>
              <w:t xml:space="preserve">  </w:t>
            </w:r>
          </w:p>
        </w:tc>
      </w:tr>
    </w:tbl>
    <w:p w:rsidR="00000000" w:rsidDel="00000000" w:rsidP="00000000" w:rsidRDefault="00000000" w:rsidRPr="00000000" w14:paraId="0000006C">
      <w:pPr>
        <w:widowControl w:val="0"/>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0"/>
        <w:jc w:val="both"/>
        <w:rPr>
          <w:rFonts w:ascii="Verdana" w:cs="Verdana" w:eastAsia="Verdana" w:hAnsi="Verdana"/>
          <w:b w:val="1"/>
          <w:bCs w:val="1"/>
          <w:i w:val="0"/>
          <w:iCs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2"/>
          <w:szCs w:val="22"/>
          <w:u w:val="none"/>
          <w:shd w:fill="auto" w:val="clear"/>
          <w:vertAlign w:val="baseline"/>
          <w:rtl w:val="0"/>
        </w:rPr>
        <w:t xml:space="preserve">Doctrina de la Agencia Nacional de Contratación Pública:</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0" w:right="0" w:firstLine="0"/>
        <w:jc w:val="both"/>
        <w:rPr>
          <w:rFonts w:ascii="Verdana" w:cs="Verdana" w:eastAsia="Verdana" w:hAnsi="Verdana"/>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widowControl w:val="0"/>
        <w:spacing w:after="0" w:line="276" w:lineRule="auto"/>
        <w:jc w:val="both"/>
        <w:rPr>
          <w:rFonts w:ascii="Verdana" w:cs="Verdana" w:eastAsia="Verdana" w:hAnsi="Verdana"/>
          <w:color w:val="ff0000"/>
          <w:highlight w:val="white"/>
        </w:rPr>
      </w:pPr>
      <w:r w:rsidDel="00000000" w:rsidR="00000000" w:rsidRPr="00000000">
        <w:rPr>
          <w:rFonts w:ascii="Verdana" w:cs="Verdana" w:eastAsia="Verdana" w:hAnsi="Verdana"/>
          <w:highlight w:val="white"/>
          <w:rtl w:val="0"/>
        </w:rPr>
        <w:t xml:space="preserve">Sobre las limitaciones territoriales de convocatorias a MiPymes, esta Subdirección se ha pronunciado en los conceptos Nro.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 C-235 del 12 de agosto de 2024 C-253 del 15 de agosto del 2024, C-684 del 18 de noviembre de 2024, C-100 del 25 de febrero de 2025 y C-191 del 21 de marzo de 2025, entre otros. Sobre la participación de las ESAL en procesos contractuales limitados a MiPymes se pronunció en los conceptos C-705 del 7 de diciembre de 2020, C-728 del 14 de diciembre de 2020, C-160 del 20 de abril de 2021, C-474 del 26 de julio de 2022, C-020 del 14 de febrero de 2023, C-587 del 21 de septiembre de 2022, C-094 del 16 de junio de 2024, C-997 del 30 de diciembre de 2024, C-1017 del 30 de diciembre de 2024, C-1034 del 3 de febrero de 2025 y C-236 del 2 de abril de 2025, entre otros.</w:t>
      </w:r>
      <w:r w:rsidDel="00000000" w:rsidR="00000000" w:rsidRPr="00000000">
        <w:rPr>
          <w:rFonts w:ascii="Verdana" w:cs="Verdana" w:eastAsia="Verdana" w:hAnsi="Verdana"/>
          <w:color w:val="7030a0"/>
          <w:highlight w:val="white"/>
          <w:rtl w:val="0"/>
        </w:rPr>
        <w:t xml:space="preserve"> </w:t>
      </w:r>
      <w:r w:rsidDel="00000000" w:rsidR="00000000" w:rsidRPr="00000000">
        <w:rPr>
          <w:rFonts w:ascii="Verdana" w:cs="Verdana" w:eastAsia="Verdana" w:hAnsi="Verdana"/>
          <w:highlight w:val="white"/>
          <w:rtl w:val="0"/>
        </w:rPr>
        <w:t xml:space="preserve">Es</w:t>
      </w:r>
      <w:r w:rsidDel="00000000" w:rsidR="00000000" w:rsidRPr="00000000">
        <w:rPr>
          <w:rFonts w:ascii="Verdana" w:cs="Verdana" w:eastAsia="Verdana" w:hAnsi="Verdana"/>
          <w:rtl w:val="0"/>
        </w:rPr>
        <w:t xml:space="preserve">tos y otros conceptos se encuentran disponibles para consulta en el Sistema de relatoría de la Agencia, al cual se puede acceder a través del siguiente enlace:</w:t>
      </w:r>
      <w:r w:rsidDel="00000000" w:rsidR="00000000" w:rsidRPr="00000000">
        <w:rPr>
          <w:rFonts w:ascii="Verdana" w:cs="Verdana" w:eastAsia="Verdana" w:hAnsi="Verdana"/>
          <w:highlight w:val="white"/>
          <w:rtl w:val="0"/>
        </w:rPr>
        <w:t xml:space="preserve"> </w:t>
      </w:r>
      <w:hyperlink r:id="rId11">
        <w:r w:rsidDel="00000000" w:rsidR="00000000" w:rsidRPr="00000000">
          <w:rPr>
            <w:rFonts w:ascii="Verdana" w:cs="Verdana" w:eastAsia="Verdana" w:hAnsi="Verdana"/>
            <w:color w:val="0000ff"/>
            <w:highlight w:val="white"/>
            <w:u w:val="single"/>
            <w:rtl w:val="0"/>
          </w:rPr>
          <w:t xml:space="preserve">https://relatoria.colombiacompra.gov.co/busqueda/conceptos</w:t>
        </w:r>
      </w:hyperlink>
      <w:r w:rsidDel="00000000" w:rsidR="00000000" w:rsidRPr="00000000">
        <w:rPr>
          <w:rFonts w:ascii="Verdana" w:cs="Verdana" w:eastAsia="Verdana" w:hAnsi="Verdana"/>
          <w:color w:val="ff0000"/>
          <w:highlight w:val="white"/>
          <w:rtl w:val="0"/>
        </w:rPr>
        <w:t xml:space="preserve">. </w:t>
      </w:r>
    </w:p>
    <w:p w:rsidR="00000000" w:rsidDel="00000000" w:rsidP="00000000" w:rsidRDefault="00000000" w:rsidRPr="00000000" w14:paraId="00000070">
      <w:pPr>
        <w:widowControl w:val="0"/>
        <w:spacing w:after="0" w:line="276" w:lineRule="auto"/>
        <w:jc w:val="both"/>
        <w:rPr>
          <w:rFonts w:ascii="Verdana" w:cs="Verdana" w:eastAsia="Verdana" w:hAnsi="Verdana"/>
          <w:color w:val="ff0000"/>
          <w:highlight w:val="white"/>
        </w:rPr>
      </w:pPr>
      <w:r w:rsidDel="00000000" w:rsidR="00000000" w:rsidRPr="00000000">
        <w:rPr>
          <w:rtl w:val="0"/>
        </w:rPr>
      </w:r>
    </w:p>
    <w:p w:rsidR="00000000" w:rsidDel="00000000" w:rsidP="00000000" w:rsidRDefault="00000000" w:rsidRPr="00000000" w14:paraId="00000071">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Le informamos que ya se encuentra disponible la </w:t>
      </w:r>
      <w:r w:rsidDel="00000000" w:rsidR="00000000" w:rsidRPr="00000000">
        <w:rPr>
          <w:rFonts w:ascii="Verdana" w:cs="Verdana" w:eastAsia="Verdana" w:hAnsi="Verdana"/>
          <w:b w:val="1"/>
          <w:bCs w:val="1"/>
          <w:rtl w:val="0"/>
        </w:rPr>
        <w:t xml:space="preserve">Cartilla para incentivar y fortalecer el acceso a las compras y contratación pública de los pueblos y comunidades étnicas en Colombia.</w:t>
      </w:r>
      <w:r w:rsidDel="00000000" w:rsidR="00000000" w:rsidRPr="00000000">
        <w:rPr>
          <w:rFonts w:ascii="Verdana" w:cs="Verdana" w:eastAsia="Verdana" w:hAnsi="Verdana"/>
          <w:rtl w:val="0"/>
        </w:rPr>
        <w:t xml:space="preserve">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2">
        <w:r w:rsidDel="00000000" w:rsidR="00000000" w:rsidRPr="00000000">
          <w:rPr>
            <w:rFonts w:ascii="Verdana" w:cs="Verdana" w:eastAsia="Verdana" w:hAnsi="Verdana"/>
            <w:color w:val="0000ff"/>
            <w:u w:val="single"/>
            <w:rtl w:val="0"/>
          </w:rPr>
          <w:t xml:space="preserve">Cartilla para incentivar y fortalecer el acceso a las compras y contratación pública de los pueblos y comunidades étnicas en Colombia | Colombia Compra Eficiente | Agencia Nacional de Contratación Pública</w:t>
        </w:r>
      </w:hyperlink>
      <w:r w:rsidDel="00000000" w:rsidR="00000000" w:rsidRPr="00000000">
        <w:rPr>
          <w:rtl w:val="0"/>
        </w:rPr>
      </w:r>
    </w:p>
    <w:p w:rsidR="00000000" w:rsidDel="00000000" w:rsidP="00000000" w:rsidRDefault="00000000" w:rsidRPr="00000000" w14:paraId="00000072">
      <w:pPr>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73">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De otra parte, le informamos que, con el objetivo de garantizar un conocimiento adecuado de las </w:t>
      </w:r>
      <w:r w:rsidDel="00000000" w:rsidR="00000000" w:rsidRPr="00000000">
        <w:rPr>
          <w:rFonts w:ascii="Verdana" w:cs="Verdana" w:eastAsia="Verdana" w:hAnsi="Verdana"/>
          <w:b w:val="1"/>
          <w:bCs w:val="1"/>
          <w:rtl w:val="0"/>
        </w:rPr>
        <w:t xml:space="preserve">modificaciones y/o actualizaciones realizadas a los Documentos Tipo</w:t>
      </w:r>
      <w:r w:rsidDel="00000000" w:rsidR="00000000" w:rsidRPr="00000000">
        <w:rPr>
          <w:rFonts w:ascii="Verdana" w:cs="Verdana" w:eastAsia="Verdana" w:hAnsi="Verdana"/>
          <w:rtl w:val="0"/>
        </w:rPr>
        <w:t xml:space="preserve">, hemos programado una serie de </w:t>
      </w:r>
      <w:r w:rsidDel="00000000" w:rsidR="00000000" w:rsidRPr="00000000">
        <w:rPr>
          <w:rFonts w:ascii="Verdana" w:cs="Verdana" w:eastAsia="Verdana" w:hAnsi="Verdana"/>
          <w:b w:val="1"/>
          <w:bCs w:val="1"/>
          <w:rtl w:val="0"/>
        </w:rPr>
        <w:t xml:space="preserve">capacitaciones </w:t>
      </w:r>
      <w:r w:rsidDel="00000000" w:rsidR="00000000" w:rsidRPr="00000000">
        <w:rPr>
          <w:rFonts w:ascii="Verdana" w:cs="Verdana" w:eastAsia="Verdana" w:hAnsi="Verdana"/>
          <w:rtl w:val="0"/>
        </w:rPr>
        <w:t xml:space="preserve">dirigidas a todos los actores involucrados en los procesos de selección. Podrá conocer la programación y realizar tu inscripción a estas capacitaciones a través del siguiente enlace: </w:t>
      </w:r>
      <w:hyperlink r:id="rId13">
        <w:r w:rsidDel="00000000" w:rsidR="00000000" w:rsidRPr="00000000">
          <w:rPr>
            <w:rFonts w:ascii="Verdana" w:cs="Verdana" w:eastAsia="Verdana" w:hAnsi="Verdana"/>
            <w:color w:val="0000ff"/>
            <w:u w:val="single"/>
            <w:rtl w:val="0"/>
          </w:rPr>
          <w:t xml:space="preserve">Calendario | Colombia Compra Eficiente | Agencia Nacional de Contratación Pública</w:t>
        </w:r>
      </w:hyperlink>
      <w:r w:rsidDel="00000000" w:rsidR="00000000" w:rsidRPr="00000000">
        <w:rPr>
          <w:rtl w:val="0"/>
        </w:rPr>
      </w:r>
    </w:p>
    <w:p w:rsidR="00000000" w:rsidDel="00000000" w:rsidP="00000000" w:rsidRDefault="00000000" w:rsidRPr="00000000" w14:paraId="00000074">
      <w:pPr>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75">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Se le informa que publicamos </w:t>
      </w:r>
      <w:r w:rsidDel="00000000" w:rsidR="00000000" w:rsidRPr="00000000">
        <w:rPr>
          <w:rFonts w:ascii="Verdana" w:cs="Verdana" w:eastAsia="Verdana" w:hAnsi="Verdana"/>
          <w:b w:val="1"/>
          <w:bCs w:val="1"/>
          <w:rtl w:val="0"/>
        </w:rPr>
        <w:t xml:space="preserve">la nueva Guía de Contratación Pública Sostenible y Socialmente Responsable</w:t>
      </w:r>
      <w:r w:rsidDel="00000000" w:rsidR="00000000" w:rsidRPr="00000000">
        <w:rPr>
          <w:rFonts w:ascii="Verdana" w:cs="Verdana" w:eastAsia="Verdana" w:hAnsi="Verdana"/>
          <w:rtl w:val="0"/>
        </w:rPr>
        <w:t xml:space="preserve">.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r w:rsidDel="00000000" w:rsidR="00000000" w:rsidRPr="00000000">
          <w:rPr>
            <w:rFonts w:ascii="Verdana" w:cs="Verdana" w:eastAsia="Verdana" w:hAnsi="Verdana"/>
            <w:color w:val="0000ff"/>
            <w:u w:val="single"/>
            <w:rtl w:val="0"/>
          </w:rPr>
          <w:t xml:space="preserve">Guía de Contratación Pública Sostenible y Socialmente Responsable | Colombia Compra Eficiente | Agencia Nacional de Contratación Pública</w:t>
        </w:r>
      </w:hyperlink>
      <w:r w:rsidDel="00000000" w:rsidR="00000000" w:rsidRPr="00000000">
        <w:rPr>
          <w:rtl w:val="0"/>
        </w:rPr>
      </w:r>
    </w:p>
    <w:p w:rsidR="00000000" w:rsidDel="00000000" w:rsidP="00000000" w:rsidRDefault="00000000" w:rsidRPr="00000000" w14:paraId="00000076">
      <w:pPr>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77">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Así mismo, lo invitamos a consultar la </w:t>
      </w:r>
      <w:r w:rsidDel="00000000" w:rsidR="00000000" w:rsidRPr="00000000">
        <w:rPr>
          <w:rFonts w:ascii="Verdana" w:cs="Verdana" w:eastAsia="Verdana" w:hAnsi="Verdana"/>
          <w:b w:val="1"/>
          <w:bCs w:val="1"/>
          <w:rtl w:val="0"/>
        </w:rPr>
        <w:t xml:space="preserve">versión VIII de 2024</w:t>
      </w:r>
      <w:r w:rsidDel="00000000" w:rsidR="00000000" w:rsidRPr="00000000">
        <w:rPr>
          <w:rFonts w:ascii="Verdana" w:cs="Verdana" w:eastAsia="Verdana" w:hAnsi="Verdana"/>
          <w:rtl w:val="0"/>
        </w:rPr>
        <w:t xml:space="preserve">, del </w:t>
      </w:r>
      <w:r w:rsidDel="00000000" w:rsidR="00000000" w:rsidRPr="00000000">
        <w:rPr>
          <w:rFonts w:ascii="Verdana" w:cs="Verdana" w:eastAsia="Verdana" w:hAnsi="Verdana"/>
          <w:b w:val="1"/>
          <w:bCs w:val="1"/>
          <w:rtl w:val="0"/>
        </w:rPr>
        <w:t xml:space="preserve">Boletín de Relatoría</w:t>
      </w:r>
      <w:r w:rsidDel="00000000" w:rsidR="00000000" w:rsidRPr="00000000">
        <w:rPr>
          <w:rFonts w:ascii="Verdana" w:cs="Verdana" w:eastAsia="Verdana" w:hAnsi="Verdana"/>
          <w:rtl w:val="0"/>
        </w:rPr>
        <w:t xml:space="preserve"> de la Subdirección de Gestión Contractual relacionado con la participación de las MIPYMES en los procesos de compra y contratación pública, el cual se puede descargar en la página web de la Agencia: </w:t>
      </w:r>
      <w:hyperlink r:id="rId15">
        <w:r w:rsidDel="00000000" w:rsidR="00000000" w:rsidRPr="00000000">
          <w:rPr>
            <w:rFonts w:ascii="Verdana" w:cs="Verdana" w:eastAsia="Verdana" w:hAnsi="Verdana"/>
            <w:color w:val="0000ff"/>
            <w:u w:val="single"/>
            <w:rtl w:val="0"/>
          </w:rPr>
          <w:t xml:space="preserve">https://www.colombiacompra.gov.co/sites/cce_public/files/files_2020/boletin_de_realtoria_viii.pdf</w:t>
        </w:r>
      </w:hyperlink>
      <w:r w:rsidDel="00000000" w:rsidR="00000000" w:rsidRPr="00000000">
        <w:rPr>
          <w:rtl w:val="0"/>
        </w:rPr>
      </w:r>
    </w:p>
    <w:p w:rsidR="00000000" w:rsidDel="00000000" w:rsidP="00000000" w:rsidRDefault="00000000" w:rsidRPr="00000000" w14:paraId="00000078">
      <w:pPr>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79">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Por último, lo invitamos a seguirnos en las redes sociales en las cuales se difunde información institucional: </w:t>
      </w:r>
    </w:p>
    <w:p w:rsidR="00000000" w:rsidDel="00000000" w:rsidP="00000000" w:rsidRDefault="00000000" w:rsidRPr="00000000" w14:paraId="0000007A">
      <w:pPr>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7B">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Twitter: </w:t>
      </w:r>
      <w:r w:rsidDel="00000000" w:rsidR="00000000" w:rsidRPr="00000000">
        <w:rPr>
          <w:rFonts w:ascii="Verdana" w:cs="Verdana" w:eastAsia="Verdana" w:hAnsi="Verdana"/>
          <w:color w:val="4472c4"/>
          <w:u w:val="single"/>
          <w:rtl w:val="0"/>
        </w:rPr>
        <w:t xml:space="preserve">@colombiacompra</w:t>
      </w:r>
      <w:r w:rsidDel="00000000" w:rsidR="00000000" w:rsidRPr="00000000">
        <w:rPr>
          <w:rFonts w:ascii="Verdana" w:cs="Verdana" w:eastAsia="Verdana" w:hAnsi="Verdana"/>
          <w:color w:val="4472c4"/>
          <w:rtl w:val="0"/>
        </w:rPr>
        <w:t xml:space="preserve"> </w:t>
      </w:r>
      <w:r w:rsidDel="00000000" w:rsidR="00000000" w:rsidRPr="00000000">
        <w:rPr>
          <w:rtl w:val="0"/>
        </w:rPr>
      </w:r>
    </w:p>
    <w:p w:rsidR="00000000" w:rsidDel="00000000" w:rsidP="00000000" w:rsidRDefault="00000000" w:rsidRPr="00000000" w14:paraId="0000007C">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Facebook: </w:t>
      </w:r>
      <w:r w:rsidDel="00000000" w:rsidR="00000000" w:rsidRPr="00000000">
        <w:rPr>
          <w:rFonts w:ascii="Verdana" w:cs="Verdana" w:eastAsia="Verdana" w:hAnsi="Verdana"/>
          <w:color w:val="4472c4"/>
          <w:u w:val="single"/>
          <w:rtl w:val="0"/>
        </w:rPr>
        <w:t xml:space="preserve">ColombiaCompraEficiente</w:t>
      </w:r>
      <w:r w:rsidDel="00000000" w:rsidR="00000000" w:rsidRPr="00000000">
        <w:rPr>
          <w:rtl w:val="0"/>
        </w:rPr>
      </w:r>
    </w:p>
    <w:p w:rsidR="00000000" w:rsidDel="00000000" w:rsidP="00000000" w:rsidRDefault="00000000" w:rsidRPr="00000000" w14:paraId="0000007D">
      <w:pPr>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LinkedIn: </w:t>
      </w:r>
      <w:r w:rsidDel="00000000" w:rsidR="00000000" w:rsidRPr="00000000">
        <w:rPr>
          <w:rFonts w:ascii="Verdana" w:cs="Verdana" w:eastAsia="Verdana" w:hAnsi="Verdana"/>
          <w:color w:val="4472c4"/>
          <w:u w:val="single"/>
          <w:rtl w:val="0"/>
        </w:rPr>
        <w:t xml:space="preserve">Agencia Nacional de Contratación Pública - Colombia Compra Eficiente</w:t>
      </w:r>
      <w:r w:rsidDel="00000000" w:rsidR="00000000" w:rsidRPr="00000000">
        <w:rPr>
          <w:rFonts w:ascii="Verdana" w:cs="Verdana" w:eastAsia="Verdana" w:hAnsi="Verdana"/>
          <w:color w:val="4472c4"/>
          <w:rtl w:val="0"/>
        </w:rPr>
        <w:t xml:space="preserve"> </w:t>
      </w:r>
      <w:r w:rsidDel="00000000" w:rsidR="00000000" w:rsidRPr="00000000">
        <w:rPr>
          <w:rFonts w:ascii="Verdana" w:cs="Verdana" w:eastAsia="Verdana" w:hAnsi="Verdana"/>
          <w:rtl w:val="0"/>
        </w:rPr>
        <w:t xml:space="preserve">Instagram: </w:t>
      </w:r>
      <w:r w:rsidDel="00000000" w:rsidR="00000000" w:rsidRPr="00000000">
        <w:rPr>
          <w:rFonts w:ascii="Verdana" w:cs="Verdana" w:eastAsia="Verdana" w:hAnsi="Verdana"/>
          <w:color w:val="4472c4"/>
          <w:u w:val="single"/>
          <w:rtl w:val="0"/>
        </w:rPr>
        <w:t xml:space="preserve">@colombiacompraeficiente_cce</w:t>
      </w:r>
      <w:r w:rsidDel="00000000" w:rsidR="00000000" w:rsidRPr="00000000">
        <w:rPr>
          <w:rtl w:val="0"/>
        </w:rPr>
      </w:r>
    </w:p>
    <w:p w:rsidR="00000000" w:rsidDel="00000000" w:rsidP="00000000" w:rsidRDefault="00000000" w:rsidRPr="00000000" w14:paraId="0000007E">
      <w:pPr>
        <w:widowControl w:val="0"/>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7F">
      <w:pPr>
        <w:widowControl w:val="0"/>
        <w:spacing w:after="0" w:line="276" w:lineRule="auto"/>
        <w:jc w:val="both"/>
        <w:rPr>
          <w:rFonts w:ascii="Verdana" w:cs="Verdana" w:eastAsia="Verdana" w:hAnsi="Verdana"/>
        </w:rPr>
      </w:pPr>
      <w:r w:rsidDel="00000000" w:rsidR="00000000" w:rsidRPr="00000000">
        <w:rPr>
          <w:rFonts w:ascii="Verdana" w:cs="Verdana" w:eastAsia="Verdana" w:hAnsi="Verdana"/>
          <w:rtl w:val="0"/>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00000000" w:rsidDel="00000000" w:rsidP="00000000" w:rsidRDefault="00000000" w:rsidRPr="00000000" w14:paraId="00000080">
      <w:pPr>
        <w:widowControl w:val="0"/>
        <w:spacing w:after="0" w:line="276"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81">
      <w:pPr>
        <w:spacing w:after="0" w:line="276" w:lineRule="auto"/>
        <w:rPr>
          <w:rFonts w:ascii="Verdana" w:cs="Verdana" w:eastAsia="Verdana" w:hAnsi="Verdana"/>
        </w:rPr>
      </w:pPr>
      <w:r w:rsidDel="00000000" w:rsidR="00000000" w:rsidRPr="00000000">
        <w:rPr>
          <w:rFonts w:ascii="Verdana" w:cs="Verdana" w:eastAsia="Verdana" w:hAnsi="Verdana"/>
          <w:rtl w:val="0"/>
        </w:rPr>
        <w:t xml:space="preserve">Atentamente, </w:t>
      </w:r>
    </w:p>
    <w:p w:rsidR="00000000" w:rsidDel="00000000" w:rsidP="00000000" w:rsidRDefault="00000000" w:rsidRPr="00000000" w14:paraId="00000082">
      <w:pPr>
        <w:spacing w:line="276" w:lineRule="auto"/>
        <w:jc w:val="center"/>
        <w:rPr>
          <w:rFonts w:ascii="Verdana" w:cs="Verdana" w:eastAsia="Verdana" w:hAnsi="Verdana"/>
          <w:color w:val="000000"/>
        </w:rPr>
      </w:pPr>
      <w:r w:rsidDel="00000000" w:rsidR="00000000" w:rsidRPr="00000000">
        <w:rPr/>
        <w:drawing>
          <wp:inline distB="0" distT="0" distL="0" distR="0">
            <wp:extent cx="3768725" cy="1399540"/>
            <wp:effectExtent b="0" l="0" r="0" t="0"/>
            <wp:docPr id="1309089905"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3768725" cy="1399540"/>
                    </a:xfrm>
                    <a:prstGeom prst="rect"/>
                    <a:ln/>
                  </pic:spPr>
                </pic:pic>
              </a:graphicData>
            </a:graphic>
          </wp:inline>
        </w:drawing>
      </w:r>
      <w:r w:rsidDel="00000000" w:rsidR="00000000" w:rsidRPr="00000000">
        <w:rPr>
          <w:rtl w:val="0"/>
        </w:rPr>
      </w:r>
    </w:p>
    <w:tbl>
      <w:tblPr>
        <w:tblStyle w:val="Table4"/>
        <w:tblW w:w="6520.999999999999"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93"/>
        <w:gridCol w:w="5628"/>
        <w:tblGridChange w:id="0">
          <w:tblGrid>
            <w:gridCol w:w="893"/>
            <w:gridCol w:w="5628"/>
          </w:tblGrid>
        </w:tblGridChange>
      </w:tblGrid>
      <w:tr>
        <w:trPr>
          <w:cantSplit w:val="0"/>
          <w:trHeight w:val="315" w:hRule="atLeast"/>
          <w:tblHeader w:val="0"/>
        </w:trPr>
        <w:tc>
          <w:tcPr>
            <w:vAlign w:val="center"/>
          </w:tcPr>
          <w:p w:rsidR="00000000" w:rsidDel="00000000" w:rsidP="00000000" w:rsidRDefault="00000000" w:rsidRPr="00000000" w14:paraId="00000083">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Elaboró:</w:t>
            </w:r>
          </w:p>
        </w:tc>
        <w:tc>
          <w:tcPr>
            <w:tcBorders>
              <w:top w:color="000000" w:space="0" w:sz="0" w:val="nil"/>
              <w:left w:color="000000" w:space="0" w:sz="0" w:val="nil"/>
              <w:bottom w:color="7f7f7f" w:space="0" w:sz="4" w:val="dotted"/>
              <w:right w:color="000000" w:space="0" w:sz="0" w:val="nil"/>
            </w:tcBorders>
            <w:vAlign w:val="center"/>
          </w:tcPr>
          <w:p w:rsidR="00000000" w:rsidDel="00000000" w:rsidP="00000000" w:rsidRDefault="00000000" w:rsidRPr="00000000" w14:paraId="00000084">
            <w:pPr>
              <w:spacing w:after="0" w:lineRule="auto"/>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Catalina Cubides Estupiñan</w:t>
            </w:r>
          </w:p>
          <w:p w:rsidR="00000000" w:rsidDel="00000000" w:rsidP="00000000" w:rsidRDefault="00000000" w:rsidRPr="00000000" w14:paraId="00000085">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Contratista de la Subdirección de Gestión Contractual</w:t>
            </w:r>
          </w:p>
        </w:tc>
      </w:tr>
      <w:tr>
        <w:trPr>
          <w:cantSplit w:val="0"/>
          <w:trHeight w:val="330" w:hRule="atLeast"/>
          <w:tblHeader w:val="0"/>
        </w:trPr>
        <w:tc>
          <w:tcPr>
            <w:vAlign w:val="center"/>
          </w:tcPr>
          <w:p w:rsidR="00000000" w:rsidDel="00000000" w:rsidP="00000000" w:rsidRDefault="00000000" w:rsidRPr="00000000" w14:paraId="00000086">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Revisó:</w:t>
            </w:r>
          </w:p>
        </w:tc>
        <w:tc>
          <w:tcPr>
            <w:tcBorders>
              <w:top w:color="7f7f7f" w:space="0" w:sz="4" w:val="dotted"/>
              <w:left w:color="000000" w:space="0" w:sz="0" w:val="nil"/>
              <w:bottom w:color="7f7f7f" w:space="0" w:sz="4" w:val="dotted"/>
              <w:right w:color="000000" w:space="0" w:sz="0" w:val="nil"/>
            </w:tcBorders>
            <w:vAlign w:val="center"/>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bCs w:val="0"/>
                <w:i w:val="0"/>
                <w:iCs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Diana Lucía Saavedra</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bCs w:val="0"/>
                <w:i w:val="0"/>
                <w:iCs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Contratista de la Subdirección de Gestión Contractual </w:t>
            </w:r>
          </w:p>
        </w:tc>
      </w:tr>
      <w:tr>
        <w:trPr>
          <w:cantSplit w:val="0"/>
          <w:trHeight w:val="300" w:hRule="atLeast"/>
          <w:tblHeader w:val="0"/>
        </w:trPr>
        <w:tc>
          <w:tcPr>
            <w:vAlign w:val="center"/>
          </w:tcPr>
          <w:p w:rsidR="00000000" w:rsidDel="00000000" w:rsidP="00000000" w:rsidRDefault="00000000" w:rsidRPr="00000000" w14:paraId="00000089">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Aprobó:</w:t>
            </w:r>
          </w:p>
        </w:tc>
        <w:tc>
          <w:tcPr>
            <w:tcBorders>
              <w:top w:color="7f7f7f" w:space="0" w:sz="4" w:val="dotted"/>
              <w:left w:color="000000" w:space="0" w:sz="0" w:val="nil"/>
              <w:bottom w:color="7f7f7f" w:space="0" w:sz="4" w:val="dotted"/>
              <w:right w:color="000000" w:space="0" w:sz="0" w:val="nil"/>
            </w:tcBorders>
            <w:vAlign w:val="center"/>
          </w:tcPr>
          <w:p w:rsidR="00000000" w:rsidDel="00000000" w:rsidP="00000000" w:rsidRDefault="00000000" w:rsidRPr="00000000" w14:paraId="0000008A">
            <w:pPr>
              <w:spacing w:after="0" w:lineRule="auto"/>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Carolina Quintero Gacharná</w:t>
            </w:r>
          </w:p>
          <w:p w:rsidR="00000000" w:rsidDel="00000000" w:rsidP="00000000" w:rsidRDefault="00000000" w:rsidRPr="00000000" w14:paraId="0000008B">
            <w:pPr>
              <w:rPr>
                <w:rFonts w:ascii="Verdana" w:cs="Verdana" w:eastAsia="Verdana" w:hAnsi="Verdana"/>
                <w:sz w:val="16"/>
                <w:szCs w:val="16"/>
              </w:rPr>
            </w:pPr>
            <w:r w:rsidDel="00000000" w:rsidR="00000000" w:rsidRPr="00000000">
              <w:rPr>
                <w:rFonts w:ascii="Verdana" w:cs="Verdana" w:eastAsia="Verdana" w:hAnsi="Verdana"/>
                <w:sz w:val="16"/>
                <w:szCs w:val="16"/>
                <w:rtl w:val="0"/>
              </w:rPr>
              <w:t xml:space="preserve">Subdirectora de Gestión Contractual ANCP – CCE</w:t>
            </w:r>
          </w:p>
        </w:tc>
      </w:tr>
    </w:tbl>
    <w:p w:rsidR="00000000" w:rsidDel="00000000" w:rsidP="00000000" w:rsidRDefault="00000000" w:rsidRPr="00000000" w14:paraId="0000008C">
      <w:pPr>
        <w:spacing w:after="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sectPr>
      <w:headerReference r:id="rId17" w:type="default"/>
      <w:footerReference r:id="rId18" w:type="default"/>
      <w:pgSz w:h="15840" w:w="12240" w:orient="portrait"/>
      <w:pgMar w:bottom="1417" w:top="1417" w:left="1701" w:right="170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Verdana"/>
  <w:font w:name="Courier New"/>
  <w:font w:name="Noto Sans Symbols">
    <w:embedRegular w:fontKey="{00000000-0000-0000-0000-000000000000}" r:id="rId1" w:subsetted="0"/>
    <w:embedBold w:fontKey="{00000000-0000-0000-0000-000000000000}" r:id="rId2" w:subsetted="0"/>
  </w:font>
  <w:font w:name="Geom">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Century Gothic">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B">
    <w:pPr>
      <w:pBdr>
        <w:top w:color="000000" w:space="1" w:sz="4" w:val="single"/>
      </w:pBdr>
      <w:spacing w:after="0" w:lineRule="auto"/>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Agencia Nacional de Contratación Pública                                              </w:t>
    </w:r>
    <w:r w:rsidDel="00000000" w:rsidR="00000000" w:rsidRPr="00000000">
      <w:rPr>
        <w:rFonts w:ascii="Verdana" w:cs="Verdana" w:eastAsia="Verdana" w:hAnsi="Verdana"/>
        <w:b w:val="1"/>
        <w:bCs w:val="1"/>
        <w:sz w:val="16"/>
        <w:szCs w:val="16"/>
        <w:rtl w:val="0"/>
      </w:rPr>
      <w:t xml:space="preserve">pág. </w:t>
    </w:r>
    <w:r w:rsidDel="00000000" w:rsidR="00000000" w:rsidRPr="00000000">
      <w:rPr>
        <w:rFonts w:ascii="Verdana" w:cs="Verdana" w:eastAsia="Verdana" w:hAnsi="Verdana"/>
        <w:b w:val="1"/>
        <w:bCs w:val="1"/>
        <w:sz w:val="16"/>
        <w:szCs w:val="16"/>
      </w:rPr>
      <w:fldChar w:fldCharType="begin"/>
      <w:instrText xml:space="preserve">PAGE</w:instrText>
      <w:fldChar w:fldCharType="separate"/>
      <w:fldChar w:fldCharType="end"/>
    </w:r>
    <w:r w:rsidDel="00000000" w:rsidR="00000000" w:rsidRPr="00000000">
      <w:rPr>
        <w:rFonts w:ascii="Verdana" w:cs="Verdana" w:eastAsia="Verdana" w:hAnsi="Verdana"/>
        <w:b w:val="1"/>
        <w:bCs w:val="1"/>
        <w:sz w:val="20"/>
        <w:szCs w:val="20"/>
        <w:rtl w:val="0"/>
      </w:rPr>
      <w:t xml:space="preserve">              Colombia Compra Eficiente                                                            </w:t>
    </w:r>
  </w:p>
  <w:p w:rsidR="00000000" w:rsidDel="00000000" w:rsidP="00000000" w:rsidRDefault="00000000" w:rsidRPr="00000000" w14:paraId="0000009C">
    <w:pPr>
      <w:spacing w:after="0"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Dirección: Carrera 7 # 26 – 20 - Bogotá, Colombia</w:t>
    </w:r>
  </w:p>
  <w:p w:rsidR="00000000" w:rsidDel="00000000" w:rsidP="00000000" w:rsidRDefault="00000000" w:rsidRPr="00000000" w14:paraId="0000009D">
    <w:pPr>
      <w:spacing w:after="0"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Mesa de servicio: (+57) 601 7456788</w:t>
    </w:r>
  </w:p>
  <w:p w:rsidR="00000000" w:rsidDel="00000000" w:rsidP="00000000" w:rsidRDefault="00000000" w:rsidRPr="00000000" w14:paraId="0000009E">
    <w:pPr>
      <w:pBdr>
        <w:top w:space="0" w:sz="0" w:val="nil"/>
        <w:left w:space="0" w:sz="0" w:val="nil"/>
        <w:bottom w:space="0" w:sz="0" w:val="nil"/>
        <w:right w:space="0" w:sz="0" w:val="nil"/>
        <w:between w:space="0" w:sz="0" w:val="nil"/>
      </w:pBdr>
      <w:tabs>
        <w:tab w:val="center" w:leader="none" w:pos="4419"/>
        <w:tab w:val="right" w:leader="none" w:pos="8838"/>
        <w:tab w:val="center" w:leader="none" w:pos="5400"/>
      </w:tabs>
      <w:spacing w:after="0" w:lineRule="auto"/>
      <w:rPr/>
    </w:pPr>
    <w:r w:rsidDel="00000000" w:rsidR="00000000" w:rsidRPr="00000000">
      <w:rPr>
        <w:rFonts w:ascii="Verdana" w:cs="Verdana" w:eastAsia="Verdana" w:hAnsi="Verdana"/>
        <w:sz w:val="18"/>
        <w:szCs w:val="18"/>
        <w:rtl w:val="0"/>
      </w:rPr>
      <w:t xml:space="preserve">Atención al ciudadano: (+57) 601 7956600          </w:t>
    </w:r>
    <w:r w:rsidDel="00000000" w:rsidR="00000000" w:rsidRPr="00000000">
      <w:rPr>
        <w:rFonts w:ascii="Century Gothic" w:cs="Century Gothic" w:eastAsia="Century Gothic" w:hAnsi="Century Gothic"/>
        <w:b w:val="1"/>
        <w:bCs w:val="1"/>
        <w:color w:val="000000"/>
        <w:sz w:val="16"/>
        <w:szCs w:val="16"/>
        <w:rtl w:val="0"/>
      </w:rPr>
      <w:t xml:space="preserve">Código: </w:t>
    </w:r>
    <w:r w:rsidDel="00000000" w:rsidR="00000000" w:rsidRPr="00000000">
      <w:rPr>
        <w:rFonts w:ascii="Century Gothic" w:cs="Century Gothic" w:eastAsia="Century Gothic" w:hAnsi="Century Gothic"/>
        <w:color w:val="000000"/>
        <w:sz w:val="16"/>
        <w:szCs w:val="16"/>
        <w:rtl w:val="0"/>
      </w:rPr>
      <w:t xml:space="preserve">CCE-REC-FM-17 </w:t>
    </w:r>
    <w:r w:rsidDel="00000000" w:rsidR="00000000" w:rsidRPr="00000000">
      <w:rPr>
        <w:rFonts w:ascii="Century Gothic" w:cs="Century Gothic" w:eastAsia="Century Gothic" w:hAnsi="Century Gothic"/>
        <w:b w:val="1"/>
        <w:bCs w:val="1"/>
        <w:color w:val="000000"/>
        <w:sz w:val="16"/>
        <w:szCs w:val="16"/>
        <w:rtl w:val="0"/>
      </w:rPr>
      <w:t xml:space="preserve">Versión: </w:t>
    </w:r>
    <w:r w:rsidDel="00000000" w:rsidR="00000000" w:rsidRPr="00000000">
      <w:rPr>
        <w:rFonts w:ascii="Century Gothic" w:cs="Century Gothic" w:eastAsia="Century Gothic" w:hAnsi="Century Gothic"/>
        <w:sz w:val="16"/>
        <w:szCs w:val="16"/>
        <w:rtl w:val="0"/>
      </w:rPr>
      <w:t xml:space="preserve">02 Fecha: 31-08-2023</w:t>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bCs w:val="0"/>
          <w:i w:val="0"/>
          <w:iCs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 Se puede acceder a la Guía mencionada en el siguiente link: </w:t>
      </w:r>
      <w:hyperlink r:id="rId1">
        <w:r w:rsidDel="00000000" w:rsidR="00000000" w:rsidRPr="00000000">
          <w:rPr>
            <w:rFonts w:ascii="Verdana" w:cs="Verdana" w:eastAsia="Verdana" w:hAnsi="Verdana"/>
            <w:b w:val="0"/>
            <w:bCs w:val="0"/>
            <w:i w:val="0"/>
            <w:iCs w:val="0"/>
            <w:smallCaps w:val="0"/>
            <w:strike w:val="0"/>
            <w:color w:val="0000ff"/>
            <w:sz w:val="16"/>
            <w:szCs w:val="16"/>
            <w:u w:val="single"/>
            <w:shd w:fill="auto" w:val="clear"/>
            <w:vertAlign w:val="baseline"/>
            <w:rtl w:val="0"/>
          </w:rPr>
          <w:t xml:space="preserve">https://www.colombiacompra.gov.co/sites/cce_public/files/cce_documents/guia_para_promover_la_participacion_de_las_mipymes_en_los_procesos_de_compra_publica_cce-gad-gi-26_1.pdf</w:t>
        </w:r>
      </w:hyperlink>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 </w:t>
      </w:r>
    </w:p>
  </w:footnote>
  <w:footnote w:id="1">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bCs w:val="0"/>
          <w:i w:val="0"/>
          <w:iCs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 Agencia Nacional de Contratación – Colombia Compra Eficiente. Concepto 997 del 30 de diciembre de 2024. </w:t>
      </w:r>
    </w:p>
  </w:footnote>
  <w:footnote w:id="2">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bCs w:val="0"/>
          <w:i w:val="0"/>
          <w:iCs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bCs w:val="0"/>
          <w:i w:val="0"/>
          <w:iCs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3">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Verdana" w:cs="Verdana" w:eastAsia="Verdana" w:hAnsi="Verdana"/>
          <w:b w:val="0"/>
          <w:bCs w:val="0"/>
          <w:i w:val="0"/>
          <w:iCs w:val="0"/>
          <w:smallCaps w:val="0"/>
          <w:strike w:val="0"/>
          <w:color w:val="000000"/>
          <w:sz w:val="16"/>
          <w:szCs w:val="16"/>
          <w:highlight w:val="white"/>
          <w:u w:val="none"/>
          <w:vertAlign w:val="baseline"/>
        </w:rPr>
      </w:pPr>
      <w:r w:rsidDel="00000000" w:rsidR="00000000" w:rsidRPr="00000000">
        <w:rPr>
          <w:rStyle w:val="FootnoteReference"/>
          <w:vertAlign w:val="superscript"/>
        </w:rPr>
        <w:footnoteRef/>
      </w: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 </w:t>
      </w:r>
      <w:r w:rsidDel="00000000" w:rsidR="00000000" w:rsidRPr="00000000">
        <w:rPr>
          <w:rFonts w:ascii="Verdana" w:cs="Verdana" w:eastAsia="Verdana" w:hAnsi="Verdana"/>
          <w:b w:val="0"/>
          <w:bCs w:val="0"/>
          <w:i w:val="0"/>
          <w:iCs w:val="0"/>
          <w:smallCaps w:val="0"/>
          <w:strike w:val="0"/>
          <w:color w:val="000000"/>
          <w:sz w:val="16"/>
          <w:szCs w:val="16"/>
          <w:highlight w:val="white"/>
          <w:u w:val="none"/>
          <w:vertAlign w:val="baseline"/>
          <w:rtl w:val="0"/>
        </w:rPr>
        <w:t xml:space="preserve">Corte Constitucional. Sentencia C-287 de 2012. M.P. María Victoria Calle.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Geom" w:cs="Geom" w:eastAsia="Geom" w:hAnsi="Geom"/>
        <w:b w:val="1"/>
        <w:bCs w:val="1"/>
        <w:i w:val="0"/>
        <w:iCs w:val="0"/>
        <w:smallCaps w:val="0"/>
        <w:strike w:val="0"/>
        <w:color w:val="002060"/>
        <w:sz w:val="24"/>
        <w:szCs w:val="24"/>
        <w:u w:val="none"/>
        <w:shd w:fill="auto" w:val="clear"/>
        <w:vertAlign w:val="baseline"/>
      </w:rPr>
      <w:drawing>
        <wp:anchor allowOverlap="1" behindDoc="0" distB="0" distT="0" distL="114300" distR="114300" hidden="0" layoutInCell="1" locked="0" relativeHeight="0" simplePos="0">
          <wp:simplePos x="0" y="0"/>
          <wp:positionH relativeFrom="margin">
            <wp:posOffset>8420100</wp:posOffset>
          </wp:positionH>
          <wp:positionV relativeFrom="margin">
            <wp:posOffset>-1377949</wp:posOffset>
          </wp:positionV>
          <wp:extent cx="665480" cy="3098800"/>
          <wp:effectExtent b="0" l="0" r="0" t="0"/>
          <wp:wrapSquare wrapText="bothSides" distB="0" distT="0" distL="114300" distR="114300"/>
          <wp:docPr id="1309089904"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665480" cy="3098800"/>
                  </a:xfrm>
                  <a:prstGeom prst="rect"/>
                  <a:ln/>
                </pic:spPr>
              </pic:pic>
            </a:graphicData>
          </a:graphic>
        </wp:anchor>
      </w:drawing>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1844040</wp:posOffset>
          </wp:positionH>
          <wp:positionV relativeFrom="paragraph">
            <wp:posOffset>-345439</wp:posOffset>
          </wp:positionV>
          <wp:extent cx="1924050" cy="856004"/>
          <wp:effectExtent b="0" l="0" r="0" t="0"/>
          <wp:wrapNone/>
          <wp:docPr descr="Imagen que contiene Interfaz de usuario gráfica&#10;&#10;Descripción generada automáticamente" id="1309089906" name="image4.png"/>
          <a:graphic>
            <a:graphicData uri="http://schemas.openxmlformats.org/drawingml/2006/picture">
              <pic:pic>
                <pic:nvPicPr>
                  <pic:cNvPr descr="Imagen que contiene Interfaz de usuario gráfica&#10;&#10;Descripción generada automáticamente" id="0" name="image4.png"/>
                  <pic:cNvPicPr preferRelativeResize="0"/>
                </pic:nvPicPr>
                <pic:blipFill>
                  <a:blip r:embed="rId2"/>
                  <a:srcRect b="0" l="0" r="0" t="0"/>
                  <a:stretch>
                    <a:fillRect/>
                  </a:stretch>
                </pic:blipFill>
                <pic:spPr>
                  <a:xfrm>
                    <a:off x="0" y="0"/>
                    <a:ext cx="1924050" cy="856004"/>
                  </a:xfrm>
                  <a:prstGeom prst="rect"/>
                  <a:ln/>
                </pic:spPr>
              </pic:pic>
            </a:graphicData>
          </a:graphic>
        </wp:anchor>
      </w:drawing>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spacing w:after="0" w:lineRule="auto"/>
      <w:rPr>
        <w:rFonts w:ascii="Verdana" w:cs="Verdana" w:eastAsia="Verdana" w:hAnsi="Verdana"/>
        <w:b w:val="1"/>
        <w:bCs w:val="1"/>
      </w:rPr>
    </w:pPr>
    <w:r w:rsidDel="00000000" w:rsidR="00000000" w:rsidRPr="00000000">
      <w:rPr>
        <w:rtl w:val="0"/>
      </w:rPr>
    </w:r>
  </w:p>
  <w:p w:rsidR="00000000" w:rsidDel="00000000" w:rsidP="00000000" w:rsidRDefault="00000000" w:rsidRPr="00000000" w14:paraId="00000097">
    <w:pPr>
      <w:spacing w:after="0" w:lineRule="auto"/>
      <w:rPr>
        <w:rFonts w:ascii="Verdana" w:cs="Verdana" w:eastAsia="Verdana" w:hAnsi="Verdana"/>
        <w:b w:val="1"/>
        <w:bCs w:val="1"/>
      </w:rPr>
    </w:pPr>
    <w:r w:rsidDel="00000000" w:rsidR="00000000" w:rsidRPr="00000000">
      <w:rPr>
        <w:rFonts w:ascii="Verdana" w:cs="Verdana" w:eastAsia="Verdana" w:hAnsi="Verdana"/>
        <w:b w:val="1"/>
        <w:bCs w:val="1"/>
        <w:rtl w:val="0"/>
      </w:rPr>
      <w:t xml:space="preserve">FORMATO PQRSD</w:t>
    </w:r>
  </w:p>
  <w:p w:rsidR="00000000" w:rsidDel="00000000" w:rsidP="00000000" w:rsidRDefault="00000000" w:rsidRPr="00000000" w14:paraId="00000098">
    <w:pPr>
      <w:spacing w:after="0" w:line="120" w:lineRule="auto"/>
      <w:rPr>
        <w:rFonts w:ascii="Century Gothic" w:cs="Century Gothic" w:eastAsia="Century Gothic" w:hAnsi="Century Gothic"/>
        <w:sz w:val="16"/>
        <w:szCs w:val="16"/>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12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601" w:hanging="360"/>
      </w:pPr>
      <w:rPr>
        <w:b w:val="1"/>
        <w:bCs w:val="1"/>
        <w:color w:val="000000"/>
      </w:rPr>
    </w:lvl>
    <w:lvl w:ilvl="1">
      <w:start w:val="2"/>
      <w:numFmt w:val="decimal"/>
      <w:lvlText w:val="%1.%2"/>
      <w:lvlJc w:val="left"/>
      <w:pPr>
        <w:ind w:left="6241" w:hanging="360"/>
      </w:pPr>
      <w:rPr/>
    </w:lvl>
    <w:lvl w:ilvl="2">
      <w:start w:val="1"/>
      <w:numFmt w:val="decimal"/>
      <w:lvlText w:val="%1.%2.%3"/>
      <w:lvlJc w:val="left"/>
      <w:pPr>
        <w:ind w:left="6961" w:hanging="720"/>
      </w:pPr>
      <w:rPr/>
    </w:lvl>
    <w:lvl w:ilvl="3">
      <w:start w:val="1"/>
      <w:numFmt w:val="decimal"/>
      <w:lvlText w:val="%1.%2.%3.%4"/>
      <w:lvlJc w:val="left"/>
      <w:pPr>
        <w:ind w:left="6961" w:hanging="720"/>
      </w:pPr>
      <w:rPr/>
    </w:lvl>
    <w:lvl w:ilvl="4">
      <w:start w:val="1"/>
      <w:numFmt w:val="decimal"/>
      <w:lvlText w:val="%1.%2.%3.%4.%5"/>
      <w:lvlJc w:val="left"/>
      <w:pPr>
        <w:ind w:left="7321" w:hanging="1080"/>
      </w:pPr>
      <w:rPr/>
    </w:lvl>
    <w:lvl w:ilvl="5">
      <w:start w:val="1"/>
      <w:numFmt w:val="decimal"/>
      <w:lvlText w:val="%1.%2.%3.%4.%5.%6"/>
      <w:lvlJc w:val="left"/>
      <w:pPr>
        <w:ind w:left="7321" w:hanging="1080"/>
      </w:pPr>
      <w:rPr/>
    </w:lvl>
    <w:lvl w:ilvl="6">
      <w:start w:val="1"/>
      <w:numFmt w:val="decimal"/>
      <w:lvlText w:val="%1.%2.%3.%4.%5.%6.%7"/>
      <w:lvlJc w:val="left"/>
      <w:pPr>
        <w:ind w:left="7681" w:hanging="1440"/>
      </w:pPr>
      <w:rPr/>
    </w:lvl>
    <w:lvl w:ilvl="7">
      <w:start w:val="1"/>
      <w:numFmt w:val="decimal"/>
      <w:lvlText w:val="%1.%2.%3.%4.%5.%6.%7.%8"/>
      <w:lvlJc w:val="left"/>
      <w:pPr>
        <w:ind w:left="7681" w:hanging="1440"/>
      </w:pPr>
      <w:rPr/>
    </w:lvl>
    <w:lvl w:ilvl="8">
      <w:start w:val="1"/>
      <w:numFmt w:val="decimal"/>
      <w:lvlText w:val="%1.%2.%3.%4.%5.%6.%7.%8.%9"/>
      <w:lvlJc w:val="left"/>
      <w:pPr>
        <w:ind w:left="8041" w:hanging="1800"/>
      </w:pPr>
      <w:rPr/>
    </w:lvl>
  </w:abstractNum>
  <w:abstractNum w:abstractNumId="2">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lowerRoman"/>
      <w:lvlText w:val="(%1)"/>
      <w:lvlJc w:val="left"/>
      <w:pPr>
        <w:ind w:left="1440" w:hanging="108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spacing w:after="0" w:line="240" w:lineRule="auto"/>
    </w:pPr>
    <w:rPr>
      <w:rFonts w:ascii="Geom" w:cs="Geom" w:eastAsia="Geom" w:hAnsi="Geom"/>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Encabezado">
    <w:name w:val="header"/>
    <w:basedOn w:val="Normal"/>
    <w:link w:val="EncabezadoCar"/>
    <w:uiPriority w:val="99"/>
    <w:unhideWhenUsed w:val="1"/>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val="1"/>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cs="Arial" w:hAnsi="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val="1"/>
    <w:locked w:val="1"/>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val="1"/>
    <w:qFormat w:val="1"/>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val="1"/>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val="1"/>
    <w:qFormat w:val="1"/>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val="1"/>
    <w:rsid w:val="006219F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val="1"/>
    <w:rsid w:val="005566E8"/>
    <w:pPr>
      <w:ind w:left="720"/>
      <w:contextualSpacing w:val="1"/>
    </w:pPr>
    <w:rPr>
      <w:rFonts w:ascii="Geomanist Light" w:hAnsi="Geomanist Light"/>
      <w:lang w:val="es-ES"/>
    </w:rPr>
  </w:style>
  <w:style w:type="character" w:styleId="TtuloCar" w:customStyle="1">
    <w:name w:val="Título Car"/>
    <w:basedOn w:val="Fuentedeprrafopredeter"/>
    <w:link w:val="Ttulo"/>
    <w:uiPriority w:val="10"/>
    <w:rsid w:val="005566E8"/>
    <w:rPr>
      <w:rFonts w:ascii="Geomanist" w:hAnsi="Geomanist" w:cstheme="majorBidi" w:eastAsiaTheme="majorEastAsia"/>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val="1"/>
    <w:rsid w:val="00125105"/>
    <w:rPr>
      <w:color w:val="0000ff"/>
      <w:u w:val="single"/>
    </w:rPr>
  </w:style>
  <w:style w:type="character" w:styleId="Hipervnculovisitado">
    <w:name w:val="FollowedHyperlink"/>
    <w:basedOn w:val="Fuentedeprrafopredeter"/>
    <w:uiPriority w:val="99"/>
    <w:semiHidden w:val="1"/>
    <w:unhideWhenUsed w:val="1"/>
    <w:rsid w:val="00125105"/>
    <w:rPr>
      <w:color w:val="954f72" w:themeColor="followedHyperlink"/>
      <w:u w:val="single"/>
    </w:rPr>
  </w:style>
  <w:style w:type="paragraph" w:styleId="paragraph" w:customStyle="1">
    <w:name w:val="paragraph"/>
    <w:basedOn w:val="Normal"/>
    <w:rsid w:val="00322A85"/>
    <w:pPr>
      <w:spacing w:after="100" w:afterAutospacing="1" w:before="100" w:beforeAutospacing="1" w:line="240" w:lineRule="auto"/>
    </w:pPr>
    <w:rPr>
      <w:rFonts w:ascii="Times New Roman" w:cs="Times New Roman" w:eastAsia="Times New Roman" w:hAnsi="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val="1"/>
    <w:unhideWhenUsed w:val="1"/>
    <w:rsid w:val="001F7DC6"/>
    <w:rPr>
      <w:color w:val="605e5c"/>
      <w:shd w:color="auto" w:fill="e1dfdd" w:val="clear"/>
    </w:rPr>
  </w:style>
  <w:style w:type="paragraph" w:styleId="NormalWeb">
    <w:name w:val="Normal (Web)"/>
    <w:basedOn w:val="Normal"/>
    <w:uiPriority w:val="99"/>
    <w:semiHidden w:val="1"/>
    <w:unhideWhenUsed w:val="1"/>
    <w:rsid w:val="00DF5254"/>
    <w:pPr>
      <w:spacing w:after="100" w:afterAutospacing="1" w:before="100" w:beforeAutospacing="1" w:line="240" w:lineRule="auto"/>
    </w:pPr>
    <w:rPr>
      <w:rFonts w:ascii="Times New Roman" w:cs="Times New Roman" w:eastAsia="Times New Roman" w:hAnsi="Times New Roman"/>
      <w:sz w:val="24"/>
      <w:szCs w:val="24"/>
      <w:lang w:eastAsia="es-CO"/>
    </w:rPr>
  </w:style>
  <w:style w:type="paragraph" w:styleId="blanco" w:customStyle="1">
    <w:name w:val="blanco"/>
    <w:basedOn w:val="Normal"/>
    <w:rsid w:val="00C76B1C"/>
    <w:pPr>
      <w:spacing w:after="100" w:afterAutospacing="1" w:before="100" w:beforeAutospacing="1" w:line="240" w:lineRule="auto"/>
    </w:pPr>
    <w:rPr>
      <w:rFonts w:ascii="Times New Roman" w:cs="Times New Roman" w:eastAsia="Times New Roman" w:hAnsi="Times New Roman"/>
      <w:sz w:val="24"/>
      <w:szCs w:val="24"/>
      <w:lang w:eastAsia="es-CO"/>
    </w:rPr>
  </w:style>
  <w:style w:type="paragraph" w:styleId="Revisin">
    <w:name w:val="Revision"/>
    <w:hidden w:val="1"/>
    <w:uiPriority w:val="99"/>
    <w:semiHidden w:val="1"/>
    <w:rsid w:val="009F3A13"/>
    <w:pPr>
      <w:spacing w:after="0" w:line="240" w:lineRule="auto"/>
    </w:pPr>
  </w:style>
  <w:style w:type="paragraph" w:styleId="Appelnotedebasde" w:customStyle="1">
    <w:name w:val="Appel note de bas de..."/>
    <w:basedOn w:val="Normal"/>
    <w:link w:val="Refdenotaalpie"/>
    <w:uiPriority w:val="99"/>
    <w:rsid w:val="00A1428F"/>
    <w:pPr>
      <w:spacing w:line="240" w:lineRule="exact"/>
    </w:pPr>
    <w:rPr>
      <w:vertAlign w:val="superscript"/>
    </w:rPr>
  </w:style>
  <w:style w:type="character" w:styleId="Textoennegrita">
    <w:name w:val="Strong"/>
    <w:basedOn w:val="Fuentedeprrafopredeter"/>
    <w:uiPriority w:val="22"/>
    <w:qFormat w:val="1"/>
    <w:rsid w:val="00A1428F"/>
    <w:rPr>
      <w:b w:val="1"/>
      <w:bCs w:val="1"/>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val="1"/>
    <w:locked w:val="1"/>
    <w:rsid w:val="00A1428F"/>
    <w:rPr>
      <w:rFonts w:ascii="Geomanist Light" w:hAnsi="Geomanist Light"/>
      <w:lang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0.0" w:type="dxa"/>
        <w:bottom w:w="0.0" w:type="dxa"/>
        <w:right w:w="0.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relatoria.colombiacompra.gov.co/busqueda/conceptos" TargetMode="External"/><Relationship Id="rId10" Type="http://schemas.openxmlformats.org/officeDocument/2006/relationships/hyperlink" Target="https://www.colombiacompra.gov.co/sites/cce_public/files/cce_documents/guia_para_promover_la_participacion_de_las_mipymes_en_los_procesos_de_compra_publica_cce-gad-gi-26_1.pdf" TargetMode="External"/><Relationship Id="rId13" Type="http://schemas.openxmlformats.org/officeDocument/2006/relationships/hyperlink" Target="https://nam02.safelinks.protection.outlook.com/?url=https%3A%2F%2Fwww.colombiacompra.gov.co%2Fciudadanos%2Fcalendario&amp;data=05%7C02%7Csergio.caballero%40colombiacompra.gov.co%7Ceb0fd05604104aa4d3bc08dd4c4ad35e%7C7b09041e245149d08cb179d5e3d8c1be%7C0%7C0%7C638750606450666822%7CUnknown%7CTWFpbGZsb3d8eyJFbXB0eU1hcGkiOnRydWUsIlYiOiIwLjAuMDAwMCIsIlAiOiJXaW4zMiIsIkFOIjoiTWFpbCIsIldUIjoyfQ%3D%3D%7C0%7C%7C%7C&amp;sdata=mU5XUX7Q%2BXd%2FpAjSuS1xL4Fxie0rJRg%2FgAbyPiGkYwc%3D&amp;reserved=0" TargetMode="External"/><Relationship Id="rId12" Type="http://schemas.openxmlformats.org/officeDocument/2006/relationships/hyperlink" Target="https://nam02.safelinks.protection.outlook.com/?url=https%3A%2F%2Fwww.colombiacompra.gov.co%2Fmanuales-guias-y-pliegos-tipo%2Fmanuales-y-guias%2Fcartilla-para-incentivar-y-fortalecer-el-acceso-las&amp;data=05%7C02%7Csergio.caballero%40colombiacompra.gov.co%7Ceb0fd05604104aa4d3bc08dd4c4ad35e%7C7b09041e245149d08cb179d5e3d8c1be%7C0%7C0%7C638750606450638124%7CUnknown%7CTWFpbGZsb3d8eyJFbXB0eU1hcGkiOnRydWUsIlYiOiIwLjAuMDAwMCIsIlAiOiJXaW4zMiIsIkFOIjoiTWFpbCIsIldUIjoyfQ%3D%3D%7C0%7C%7C%7C&amp;sdata=GsJIL57dtjU4EgyeV9GoXT9Qyf5HCr3L97ztn6DduKY%3D&amp;reserved=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jairovargas.asesor@gmail.com" TargetMode="External"/><Relationship Id="rId15" Type="http://schemas.openxmlformats.org/officeDocument/2006/relationships/hyperlink" Target="https://www.colombiacompra.gov.co/sites/cce_public/files/files_2020/boletin_de_realtoria_viii.pdf" TargetMode="Externa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sergio.caballero%40colombiacompra.gov.co%7Ceb0fd05604104aa4d3bc08dd4c4ad35e%7C7b09041e245149d08cb179d5e3d8c1be%7C0%7C0%7C638750606450689684%7CUnknown%7CTWFpbGZsb3d8eyJFbXB0eU1hcGkiOnRydWUsIlYiOiIwLjAuMDAwMCIsIlAiOiJXaW4zMiIsIkFOIjoiTWFpbCIsIldUIjoyfQ%3D%3D%7C0%7C%7C%7C&amp;sdata=NxWmEz0gePs69v4kYbGRcHH9k%2FqWDe2nEUXaxf28aZc%3D&amp;reserved=0" TargetMode="External"/><Relationship Id="rId17" Type="http://schemas.openxmlformats.org/officeDocument/2006/relationships/header" Target="header1.xml"/><Relationship Id="rId16" Type="http://schemas.openxmlformats.org/officeDocument/2006/relationships/image" Target="media/image1.png"/><Relationship Id="rId5" Type="http://schemas.openxmlformats.org/officeDocument/2006/relationships/numbering" Target="numbering.xml"/><Relationship Id="rId6" Type="http://schemas.openxmlformats.org/officeDocument/2006/relationships/styles" Target="styles.xml"/><Relationship Id="rId18" Type="http://schemas.openxmlformats.org/officeDocument/2006/relationships/footer" Target="footer1.xml"/><Relationship Id="rId7" Type="http://schemas.openxmlformats.org/officeDocument/2006/relationships/customXml" Target="../customXML/item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Geom-regular.ttf"/><Relationship Id="rId4" Type="http://schemas.openxmlformats.org/officeDocument/2006/relationships/font" Target="fonts/Geom-bold.ttf"/><Relationship Id="rId10" Type="http://schemas.openxmlformats.org/officeDocument/2006/relationships/font" Target="fonts/CenturyGothic-boldItalic.ttf"/><Relationship Id="rId9" Type="http://schemas.openxmlformats.org/officeDocument/2006/relationships/font" Target="fonts/CenturyGothic-italic.ttf"/><Relationship Id="rId5" Type="http://schemas.openxmlformats.org/officeDocument/2006/relationships/font" Target="fonts/Geom-italic.ttf"/><Relationship Id="rId6" Type="http://schemas.openxmlformats.org/officeDocument/2006/relationships/font" Target="fonts/Geom-boldItalic.ttf"/><Relationship Id="rId7" Type="http://schemas.openxmlformats.org/officeDocument/2006/relationships/font" Target="fonts/CenturyGothic-regular.ttf"/><Relationship Id="rId8" Type="http://schemas.openxmlformats.org/officeDocument/2006/relationships/font" Target="fonts/CenturyGothic-bold.ttf"/></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guia_para_promover_la_participacion_de_las_mipymes_en_los_procesos_de_compra_publica_cce-gad-gi-26_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5BHBFdMK4bKLlx7+tYch338QjA==">CgMxLjAyDmguc2Nob2pyNDR3bzN3OAByITExV3NJUnYwOTVJdHF3NENqSXd4OTZRcy1LeDNhcUJRTA==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2025-04-21T17:49:00Z</dcterms:created>
  <dc:creator>Andrés Felipe Ospina Acosta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